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Times New Roman" w:hAnsi="Times New Roman" w:cs="Times New Roman"/>
          <w:b/>
          <w:sz w:val="30"/>
          <w:szCs w:val="30"/>
        </w:rPr>
      </w:pPr>
      <w:r>
        <w:rPr>
          <w:rFonts w:hint="eastAsia" w:ascii="Times New Roman" w:hAnsi="Times New Roman" w:cs="Times New Roman"/>
          <w:b/>
          <w:sz w:val="30"/>
          <w:szCs w:val="30"/>
        </w:rPr>
        <w:t>蓬莱市前卫化工有限公司厂区整体搬迁项目</w:t>
      </w:r>
    </w:p>
    <w:p>
      <w:pPr>
        <w:adjustRightInd w:val="0"/>
        <w:snapToGrid w:val="0"/>
        <w:spacing w:line="360" w:lineRule="auto"/>
        <w:jc w:val="center"/>
        <w:rPr>
          <w:rFonts w:ascii="Times New Roman" w:hAnsi="Times New Roman" w:cs="Times New Roman"/>
          <w:b/>
          <w:sz w:val="30"/>
          <w:szCs w:val="30"/>
        </w:rPr>
      </w:pPr>
      <w:r>
        <w:rPr>
          <w:rFonts w:ascii="Times New Roman" w:hAnsi="Times New Roman" w:cs="Times New Roman"/>
          <w:b/>
          <w:sz w:val="30"/>
          <w:szCs w:val="30"/>
        </w:rPr>
        <w:t>竣工环境保护验收组意见</w:t>
      </w:r>
    </w:p>
    <w:p>
      <w:pPr>
        <w:adjustRightInd w:val="0"/>
        <w:snapToGrid w:val="0"/>
        <w:spacing w:line="360" w:lineRule="auto"/>
        <w:jc w:val="center"/>
        <w:rPr>
          <w:rFonts w:ascii="Times New Roman" w:hAnsi="Times New Roman" w:cs="Times New Roman"/>
          <w:b/>
          <w:sz w:val="30"/>
          <w:szCs w:val="30"/>
        </w:rPr>
      </w:pP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201</w:t>
      </w:r>
      <w:r>
        <w:rPr>
          <w:rFonts w:hint="eastAsia" w:ascii="Times New Roman" w:hAnsi="Times New Roman" w:cs="Times New Roman"/>
          <w:sz w:val="28"/>
          <w:szCs w:val="28"/>
        </w:rPr>
        <w:t>8</w:t>
      </w:r>
      <w:r>
        <w:rPr>
          <w:rFonts w:ascii="Times New Roman" w:hAnsi="Times New Roman" w:cs="Times New Roman"/>
          <w:sz w:val="28"/>
          <w:szCs w:val="28"/>
        </w:rPr>
        <w:t>年</w:t>
      </w:r>
      <w:r>
        <w:rPr>
          <w:rFonts w:hint="eastAsia" w:ascii="Times New Roman" w:hAnsi="Times New Roman" w:cs="Times New Roman"/>
          <w:sz w:val="28"/>
          <w:szCs w:val="28"/>
        </w:rPr>
        <w:t>1</w:t>
      </w:r>
      <w:r>
        <w:rPr>
          <w:rFonts w:ascii="Times New Roman" w:hAnsi="Times New Roman" w:cs="Times New Roman"/>
          <w:sz w:val="28"/>
          <w:szCs w:val="28"/>
        </w:rPr>
        <w:t>月</w:t>
      </w:r>
      <w:r>
        <w:rPr>
          <w:rFonts w:hint="eastAsia" w:ascii="Times New Roman" w:hAnsi="Times New Roman" w:cs="Times New Roman"/>
          <w:sz w:val="28"/>
          <w:szCs w:val="28"/>
        </w:rPr>
        <w:t>2</w:t>
      </w:r>
      <w:r>
        <w:rPr>
          <w:rFonts w:ascii="Times New Roman" w:hAnsi="Times New Roman" w:cs="Times New Roman"/>
          <w:sz w:val="28"/>
          <w:szCs w:val="28"/>
        </w:rPr>
        <w:t>日，</w:t>
      </w:r>
      <w:r>
        <w:rPr>
          <w:rFonts w:hint="eastAsia" w:ascii="Times New Roman" w:hAnsi="Times New Roman" w:cs="Times New Roman"/>
          <w:sz w:val="28"/>
          <w:szCs w:val="28"/>
        </w:rPr>
        <w:t>蓬莱市前卫化工有限公司</w:t>
      </w:r>
      <w:r>
        <w:rPr>
          <w:rFonts w:ascii="Times New Roman" w:hAnsi="Times New Roman" w:cs="Times New Roman"/>
          <w:sz w:val="28"/>
          <w:szCs w:val="28"/>
        </w:rPr>
        <w:t>在蓬莱市组织验收组召开“</w:t>
      </w:r>
      <w:r>
        <w:rPr>
          <w:rFonts w:hint="eastAsia" w:ascii="Times New Roman" w:hAnsi="Times New Roman" w:cs="Times New Roman"/>
          <w:sz w:val="28"/>
          <w:szCs w:val="28"/>
        </w:rPr>
        <w:t>蓬莱市前卫化工有限公司厂区整体搬迁项目</w:t>
      </w:r>
      <w:r>
        <w:rPr>
          <w:rFonts w:ascii="Times New Roman" w:hAnsi="Times New Roman" w:cs="Times New Roman"/>
          <w:sz w:val="28"/>
          <w:szCs w:val="28"/>
        </w:rPr>
        <w:t>竣工环境保护验收现场检查会”。验收工作组由建设单位-</w:t>
      </w:r>
      <w:r>
        <w:rPr>
          <w:rFonts w:hint="eastAsia" w:ascii="Times New Roman" w:hAnsi="Times New Roman" w:cs="Times New Roman"/>
          <w:sz w:val="28"/>
          <w:szCs w:val="28"/>
        </w:rPr>
        <w:t>蓬莱市前卫化工有限公司</w:t>
      </w:r>
      <w:r>
        <w:rPr>
          <w:rFonts w:ascii="Times New Roman" w:hAnsi="Times New Roman" w:cs="Times New Roman"/>
          <w:sz w:val="28"/>
          <w:szCs w:val="28"/>
        </w:rPr>
        <w:t>、验收监测单位-青岛谱尼测试有限公司</w:t>
      </w:r>
      <w:r>
        <w:rPr>
          <w:rFonts w:hint="eastAsia" w:ascii="Times New Roman" w:hAnsi="Times New Roman" w:cs="Times New Roman"/>
          <w:sz w:val="28"/>
          <w:szCs w:val="28"/>
        </w:rPr>
        <w:t>、施工单位-宜兴美达环保工程有限公司、建德天晟化工设备有限公司、浙江省环境工程有限公司、蓬莱环保局有关人员</w:t>
      </w:r>
      <w:r>
        <w:rPr>
          <w:rFonts w:ascii="Times New Roman" w:hAnsi="Times New Roman" w:cs="Times New Roman"/>
          <w:sz w:val="28"/>
          <w:szCs w:val="28"/>
        </w:rPr>
        <w:t>组成。验收工作组听取了建设单位项目环保执行情况和验收监测单位对项目竣工环境保护验收情况的汇报，现场检查了工程环保设施的建设情况，审阅并核实了有关资料。经认真讨论，形成验收意见如下：</w:t>
      </w:r>
    </w:p>
    <w:p>
      <w:pPr>
        <w:adjustRightInd w:val="0"/>
        <w:snapToGrid w:val="0"/>
        <w:spacing w:line="360" w:lineRule="auto"/>
        <w:ind w:firstLine="560" w:firstLineChars="200"/>
        <w:jc w:val="left"/>
        <w:rPr>
          <w:rFonts w:ascii="Times New Roman" w:hAnsi="Times New Roman" w:cs="Times New Roman"/>
          <w:b/>
          <w:sz w:val="28"/>
          <w:szCs w:val="28"/>
        </w:rPr>
      </w:pPr>
      <w:r>
        <w:rPr>
          <w:rFonts w:ascii="Times New Roman" w:hAnsi="Times New Roman" w:cs="Times New Roman"/>
          <w:b/>
          <w:sz w:val="28"/>
          <w:szCs w:val="28"/>
        </w:rPr>
        <w:t>一、工程建设基本情况</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（一）建设地点、规模、主要建设内容</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项目名称：</w:t>
      </w:r>
      <w:r>
        <w:rPr>
          <w:rFonts w:hint="eastAsia" w:ascii="Times New Roman" w:hAnsi="Times New Roman" w:cs="Times New Roman"/>
          <w:sz w:val="28"/>
          <w:szCs w:val="28"/>
        </w:rPr>
        <w:t>厂区整体搬迁项目</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建设单位：</w:t>
      </w:r>
      <w:r>
        <w:rPr>
          <w:rFonts w:hint="eastAsia" w:ascii="Times New Roman" w:hAnsi="Times New Roman" w:cs="Times New Roman"/>
          <w:sz w:val="28"/>
          <w:szCs w:val="28"/>
        </w:rPr>
        <w:t>蓬莱市前卫化工有限公司</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性质：</w:t>
      </w:r>
      <w:r>
        <w:rPr>
          <w:rFonts w:hint="eastAsia" w:ascii="Times New Roman" w:hAnsi="Times New Roman" w:cs="Times New Roman"/>
          <w:sz w:val="28"/>
          <w:szCs w:val="28"/>
        </w:rPr>
        <w:t>新建</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建设地点：</w:t>
      </w:r>
      <w:r>
        <w:rPr>
          <w:rFonts w:hint="eastAsia" w:ascii="Times New Roman" w:hAnsi="宋体"/>
          <w:bCs/>
          <w:sz w:val="28"/>
          <w:szCs w:val="28"/>
        </w:rPr>
        <w:t>蓬莱市北沟镇化工园区</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厂区整体搬迁项目主要建设精化二车间、精化三车间、原料罐区、丙类原料仓库、甲类原料仓库、成品仓库、污水处理站等，年生产间硝基苯甲酸500吨、邻氨基苯磺酰N-乙基苯胺100吨、2,6-二氯-4-氨基苯酚150吨、环庚三烯酚酮8吨。</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（二）建设过程及环保审批情况</w:t>
      </w:r>
    </w:p>
    <w:p>
      <w:pPr>
        <w:adjustRightInd w:val="0"/>
        <w:snapToGrid w:val="0"/>
        <w:spacing w:line="360" w:lineRule="auto"/>
        <w:ind w:firstLine="560" w:firstLineChars="200"/>
        <w:jc w:val="left"/>
        <w:rPr>
          <w:rFonts w:ascii="Times New Roman"/>
          <w:bCs/>
          <w:sz w:val="28"/>
          <w:szCs w:val="28"/>
        </w:rPr>
      </w:pPr>
      <w:r>
        <w:rPr>
          <w:rFonts w:hint="eastAsia" w:ascii="Times New Roman"/>
          <w:bCs/>
          <w:sz w:val="28"/>
          <w:szCs w:val="28"/>
        </w:rPr>
        <w:t>2011年5月，蓬莱市前卫化工有限公司委托烟台市环境保护科学研究所编制完成了《蓬莱市前卫化工有限公司厂区整体搬迁项目环境影响报告书》，烟台市环境保护局于2011年9月28日以烟环审[2011]103号文对该项目环境影响报告书进行了批复。</w:t>
      </w:r>
    </w:p>
    <w:p>
      <w:pPr>
        <w:adjustRightInd w:val="0"/>
        <w:snapToGrid w:val="0"/>
        <w:spacing w:line="360" w:lineRule="auto"/>
        <w:ind w:firstLine="560" w:firstLineChars="200"/>
        <w:jc w:val="left"/>
        <w:rPr>
          <w:rFonts w:ascii="Times New Roman"/>
          <w:bCs/>
          <w:sz w:val="28"/>
          <w:szCs w:val="28"/>
        </w:rPr>
      </w:pPr>
      <w:r>
        <w:rPr>
          <w:rFonts w:hint="eastAsia" w:ascii="Times New Roman"/>
          <w:bCs/>
          <w:sz w:val="28"/>
          <w:szCs w:val="28"/>
        </w:rPr>
        <w:t>后蓬莱市政府划拨17.38亩土地给蓬莱市前卫化工有限公司，由于占地面积增大，企业对厂区总平面布置图、污水处理站工艺和处理能力进行调整，于2015年6月，委托烟台市环境保护科学研究所编制完成了《蓬莱市前卫化工有限公司厂区整体搬迁项目环境影响变更报告书》，烟台市环境保护局于2015年9月21日以烟环评函[2015]187号文对该项目环境影响变更报告书进行了批复。</w:t>
      </w:r>
    </w:p>
    <w:p>
      <w:pPr>
        <w:adjustRightInd w:val="0"/>
        <w:snapToGrid w:val="0"/>
        <w:spacing w:line="360" w:lineRule="auto"/>
        <w:ind w:firstLine="560" w:firstLineChars="200"/>
        <w:jc w:val="left"/>
        <w:rPr>
          <w:rFonts w:ascii="Times New Roman"/>
          <w:bCs/>
          <w:sz w:val="28"/>
          <w:szCs w:val="28"/>
        </w:rPr>
      </w:pPr>
      <w:r>
        <w:rPr>
          <w:rFonts w:hint="eastAsia" w:ascii="Times New Roman"/>
          <w:bCs/>
          <w:sz w:val="28"/>
          <w:szCs w:val="28"/>
        </w:rPr>
        <w:t>项目于2013年8月开工建设，2015年10月建设完成。</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（三）投资情况</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本项目实际</w:t>
      </w:r>
      <w:r>
        <w:rPr>
          <w:rFonts w:ascii="Times New Roman" w:hAnsi="Times New Roman"/>
          <w:color w:val="000000"/>
          <w:sz w:val="28"/>
          <w:szCs w:val="28"/>
        </w:rPr>
        <w:t>总投资</w:t>
      </w:r>
      <w:r>
        <w:rPr>
          <w:rFonts w:hint="eastAsia" w:ascii="Times New Roman" w:hAnsi="Times New Roman"/>
          <w:color w:val="000000"/>
          <w:sz w:val="28"/>
          <w:szCs w:val="28"/>
          <w:lang w:bidi="en-US"/>
        </w:rPr>
        <w:t>6800</w:t>
      </w:r>
      <w:r>
        <w:rPr>
          <w:rFonts w:ascii="Times New Roman" w:hAnsi="Times New Roman"/>
          <w:color w:val="000000"/>
          <w:sz w:val="28"/>
          <w:szCs w:val="28"/>
        </w:rPr>
        <w:t>万元，其中环保投资1468万元</w:t>
      </w:r>
      <w:r>
        <w:rPr>
          <w:rFonts w:ascii="Times New Roman" w:hAnsi="Times New Roman" w:cs="Times New Roman"/>
          <w:sz w:val="28"/>
          <w:szCs w:val="28"/>
        </w:rPr>
        <w:t>，环保投资占项目总投资的21.6%。</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（四）验收范围</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本项目</w:t>
      </w:r>
      <w:r>
        <w:rPr>
          <w:rFonts w:hint="eastAsia" w:ascii="Times New Roman" w:hAnsi="宋体"/>
          <w:bCs/>
          <w:sz w:val="28"/>
          <w:szCs w:val="28"/>
        </w:rPr>
        <w:t>建设精化二车间、精化三车间，主要用于生产</w:t>
      </w:r>
      <w:r>
        <w:rPr>
          <w:rFonts w:hint="eastAsia" w:ascii="Times New Roman" w:hAnsi="Times New Roman" w:cs="Times New Roman"/>
          <w:sz w:val="28"/>
          <w:szCs w:val="28"/>
        </w:rPr>
        <w:t>间硝基苯甲酸、邻氨基苯磺酰N-乙基苯胺、2,6-二氯-4-氨基苯酚、环庚三烯酚酮</w:t>
      </w:r>
      <w:r>
        <w:rPr>
          <w:rFonts w:hint="eastAsia" w:ascii="Times New Roman" w:hAnsi="宋体"/>
          <w:bCs/>
          <w:sz w:val="28"/>
          <w:szCs w:val="28"/>
        </w:rPr>
        <w:t>。</w:t>
      </w:r>
      <w:r>
        <w:rPr>
          <w:rFonts w:ascii="Times New Roman" w:hAnsi="Times New Roman" w:cs="Times New Roman"/>
          <w:sz w:val="28"/>
          <w:szCs w:val="28"/>
        </w:rPr>
        <w:t>配套建设</w:t>
      </w:r>
      <w:r>
        <w:rPr>
          <w:rFonts w:hint="eastAsia" w:ascii="Times New Roman" w:hAnsi="Times New Roman" w:cs="Times New Roman"/>
          <w:sz w:val="28"/>
          <w:szCs w:val="28"/>
        </w:rPr>
        <w:t>二级碱喷淋+活性炭吸附</w:t>
      </w:r>
      <w:r>
        <w:rPr>
          <w:rFonts w:ascii="Times New Roman" w:hAnsi="Times New Roman" w:cs="Times New Roman"/>
          <w:sz w:val="28"/>
          <w:szCs w:val="28"/>
        </w:rPr>
        <w:t>、</w:t>
      </w:r>
      <w:r>
        <w:rPr>
          <w:rFonts w:hint="eastAsia" w:ascii="Times New Roman" w:hAnsi="Times New Roman" w:cs="Times New Roman"/>
          <w:sz w:val="28"/>
          <w:szCs w:val="28"/>
        </w:rPr>
        <w:t>碱液喷淋+UV光解、油烟净化装置、</w:t>
      </w:r>
      <w:r>
        <w:rPr>
          <w:rFonts w:ascii="Times New Roman" w:hAnsi="Times New Roman" w:cs="Times New Roman"/>
          <w:sz w:val="28"/>
          <w:szCs w:val="28"/>
        </w:rPr>
        <w:t>排气筒等废气处理设施</w:t>
      </w:r>
      <w:r>
        <w:rPr>
          <w:rFonts w:hint="eastAsia" w:ascii="Times New Roman" w:hAnsi="Times New Roman" w:cs="Times New Roman"/>
          <w:sz w:val="28"/>
          <w:szCs w:val="28"/>
        </w:rPr>
        <w:t>、污水处理站、危废库</w:t>
      </w:r>
      <w:r>
        <w:rPr>
          <w:rFonts w:ascii="Times New Roman" w:hAnsi="Times New Roman" w:cs="Times New Roman"/>
          <w:sz w:val="28"/>
          <w:szCs w:val="28"/>
        </w:rPr>
        <w:t>以及公辅工程等。</w:t>
      </w:r>
    </w:p>
    <w:p>
      <w:pPr>
        <w:adjustRightInd w:val="0"/>
        <w:snapToGrid w:val="0"/>
        <w:spacing w:line="360" w:lineRule="auto"/>
        <w:ind w:firstLine="560" w:firstLineChars="200"/>
        <w:jc w:val="left"/>
        <w:rPr>
          <w:rFonts w:ascii="Times New Roman" w:hAnsi="Times New Roman" w:cs="Times New Roman"/>
          <w:b/>
          <w:sz w:val="28"/>
          <w:szCs w:val="28"/>
        </w:rPr>
      </w:pPr>
      <w:r>
        <w:rPr>
          <w:rFonts w:ascii="Times New Roman" w:hAnsi="Times New Roman" w:cs="Times New Roman"/>
          <w:b/>
          <w:sz w:val="28"/>
          <w:szCs w:val="28"/>
        </w:rPr>
        <w:t>二、工程变</w:t>
      </w:r>
      <w:r>
        <w:rPr>
          <w:rFonts w:hint="eastAsia" w:ascii="Times New Roman" w:hAnsi="Times New Roman" w:cs="Times New Roman"/>
          <w:b/>
          <w:sz w:val="28"/>
          <w:szCs w:val="28"/>
        </w:rPr>
        <w:t>动</w:t>
      </w:r>
      <w:r>
        <w:rPr>
          <w:rFonts w:ascii="Times New Roman" w:hAnsi="Times New Roman" w:cs="Times New Roman"/>
          <w:b/>
          <w:sz w:val="28"/>
          <w:szCs w:val="28"/>
        </w:rPr>
        <w:t>情况</w:t>
      </w:r>
    </w:p>
    <w:p>
      <w:pPr>
        <w:adjustRightInd w:val="0"/>
        <w:snapToGrid w:val="0"/>
        <w:spacing w:line="360" w:lineRule="auto"/>
        <w:ind w:firstLine="560" w:firstLineChars="200"/>
        <w:jc w:val="left"/>
        <w:rPr>
          <w:rFonts w:ascii="Times New Roman" w:hAnsi="Times New Roman" w:cs="Times New Roman"/>
          <w:sz w:val="28"/>
          <w:szCs w:val="28"/>
        </w:rPr>
      </w:pPr>
      <w:r>
        <w:rPr>
          <w:rFonts w:hint="eastAsia" w:ascii="Times New Roman" w:hAnsi="Times New Roman" w:cs="Times New Roman"/>
          <w:sz w:val="28"/>
          <w:szCs w:val="28"/>
        </w:rPr>
        <w:t>项目变动情况如下：</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环评设计2,6-二氯-4-氨基苯酚、邻氨基苯磺酰N-乙基苯胺生产过程，还原反应前用H</w:t>
      </w:r>
      <w:r>
        <w:rPr>
          <w:rFonts w:hint="eastAsia" w:ascii="Times New Roman" w:hAnsi="Times New Roman" w:cs="Times New Roman"/>
          <w:sz w:val="28"/>
          <w:szCs w:val="28"/>
          <w:vertAlign w:val="subscript"/>
        </w:rPr>
        <w:t>2</w:t>
      </w:r>
      <w:r>
        <w:rPr>
          <w:rFonts w:hint="eastAsia" w:ascii="Times New Roman" w:hAnsi="Times New Roman" w:cs="Times New Roman"/>
          <w:sz w:val="28"/>
          <w:szCs w:val="28"/>
        </w:rPr>
        <w:t>置换反应釜内气体，经泵房尾气吸收装置20米高排气筒排放；烘干过程产生的水汽经泵房尾气吸收装置20米高排气筒排放；实际建设2,6-二氯-4-氨基苯酚、邻氨基苯磺酰N-乙基苯胺生产过程，还原反应前先用氮气置换釜内废气，再用氢气置换氮气，氮气置换废气经收集后通过尾气吸收塔处理后通过25米高排气筒排放，氢气置换废气通过10m高管道于车间顶部放空；烘干过程产生的废气无组织排放。</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环评设计污水处理站工艺：污水→格栅→集水井→隔油池→铁碳→混凝沉淀→HAF→FSBBR→混凝沉淀→清水池；实际建设污水处理站工艺：污水→调节池→铁床→芬顿氧化→调节池→铁床→中间池→中间沉淀池→曝气池→立式氧化槽→水解/沉淀池→接触氧化池→二沉池→清水池，进一步优化了废水处理工艺。</w:t>
      </w:r>
    </w:p>
    <w:p>
      <w:pPr>
        <w:adjustRightInd w:val="0"/>
        <w:snapToGrid w:val="0"/>
        <w:spacing w:line="360" w:lineRule="auto"/>
        <w:ind w:firstLine="560" w:firstLineChars="200"/>
        <w:rPr>
          <w:rFonts w:ascii="Times New Roman" w:hAnsi="Times New Roman" w:cs="Times New Roman"/>
          <w:color w:val="FF0000"/>
          <w:sz w:val="28"/>
          <w:szCs w:val="28"/>
        </w:rPr>
      </w:pPr>
      <w:r>
        <w:rPr>
          <w:rFonts w:hint="eastAsia" w:ascii="Times New Roman" w:hAnsi="Times New Roman" w:cs="Times New Roman"/>
          <w:color w:val="auto"/>
          <w:sz w:val="28"/>
          <w:szCs w:val="28"/>
          <w:u w:val="single"/>
        </w:rPr>
        <w:t>环评设计氯化反应废气经两级膜碱液吸收，副产品次氯酸钠外售；实际建设氯化反应废气经两级膜碱液吸收，废液进污水处理站处理，未进行副产品的回收。</w:t>
      </w:r>
    </w:p>
    <w:p>
      <w:pPr>
        <w:adjustRightInd w:val="0"/>
        <w:snapToGrid w:val="0"/>
        <w:spacing w:line="360" w:lineRule="auto"/>
        <w:ind w:firstLine="560" w:firstLineChars="200"/>
        <w:rPr>
          <w:rFonts w:ascii="Times New Roman" w:hAnsi="Times New Roman"/>
          <w:sz w:val="28"/>
        </w:rPr>
      </w:pPr>
      <w:r>
        <w:rPr>
          <w:rFonts w:hint="eastAsia" w:ascii="Times New Roman" w:hAnsi="Times New Roman" w:cs="Times New Roman"/>
          <w:sz w:val="28"/>
          <w:szCs w:val="28"/>
        </w:rPr>
        <w:t>环评设计生产用热由电加热导热油锅炉提供，实际生产用热由化工园区集中供应蒸汽提供</w:t>
      </w:r>
      <w:r>
        <w:rPr>
          <w:rFonts w:hint="eastAsia" w:ascii="Times New Roman" w:hAnsi="Times New Roman"/>
          <w:sz w:val="28"/>
        </w:rPr>
        <w:t>。</w:t>
      </w:r>
    </w:p>
    <w:p>
      <w:pPr>
        <w:adjustRightInd w:val="0"/>
        <w:snapToGrid w:val="0"/>
        <w:spacing w:line="360" w:lineRule="auto"/>
        <w:ind w:firstLine="560" w:firstLineChars="200"/>
        <w:rPr>
          <w:rFonts w:ascii="Times New Roman" w:hAnsi="Times New Roman"/>
          <w:sz w:val="28"/>
        </w:rPr>
      </w:pPr>
      <w:r>
        <w:rPr>
          <w:rFonts w:hint="eastAsia" w:ascii="Times New Roman" w:hAnsi="Times New Roman"/>
          <w:sz w:val="28"/>
        </w:rPr>
        <w:t>环评设计在可能出现泄漏的罐区、装置区按标准设计、建设防外泄防护堤；实际建设罐区设置围堰及导排系统防止物料泄漏；装置区设置了污水管网和车间废水收集池，收集泄漏物料。</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sz w:val="28"/>
        </w:rPr>
        <w:t>另外根据实际生产需要进行了设备数量的调整，生产产能未发生变化。</w:t>
      </w:r>
    </w:p>
    <w:p>
      <w:pPr>
        <w:adjustRightInd w:val="0"/>
        <w:snapToGrid w:val="0"/>
        <w:spacing w:line="360" w:lineRule="auto"/>
        <w:ind w:firstLine="560" w:firstLineChars="200"/>
        <w:rPr>
          <w:rFonts w:ascii="Times New Roman" w:hAnsi="Times New Roman" w:cs="Times New Roman"/>
          <w:color w:val="auto"/>
          <w:sz w:val="28"/>
          <w:szCs w:val="28"/>
        </w:rPr>
      </w:pPr>
      <w:r>
        <w:rPr>
          <w:rFonts w:hint="eastAsia" w:ascii="Times New Roman" w:hAnsi="Times New Roman" w:cs="Times New Roman"/>
          <w:sz w:val="28"/>
          <w:szCs w:val="28"/>
        </w:rPr>
        <w:t>根据环境保护部《关于印发环评管理中部分行业建设项目重大变动清单的通知》（环办[2015]52号），</w:t>
      </w:r>
      <w:r>
        <w:rPr>
          <w:rFonts w:hint="eastAsia" w:ascii="Times New Roman" w:hAnsi="Times New Roman" w:cs="Times New Roman"/>
          <w:color w:val="auto"/>
          <w:sz w:val="28"/>
          <w:szCs w:val="28"/>
        </w:rPr>
        <w:t>验收组认为以上变动不属于重大变动。</w:t>
      </w:r>
    </w:p>
    <w:p>
      <w:pPr>
        <w:adjustRightInd w:val="0"/>
        <w:snapToGrid w:val="0"/>
        <w:spacing w:line="360" w:lineRule="auto"/>
        <w:ind w:firstLine="560" w:firstLineChars="200"/>
        <w:jc w:val="left"/>
        <w:rPr>
          <w:rFonts w:ascii="Times New Roman" w:hAnsi="Times New Roman" w:cs="Times New Roman"/>
          <w:b/>
          <w:sz w:val="28"/>
          <w:szCs w:val="28"/>
        </w:rPr>
      </w:pPr>
      <w:r>
        <w:rPr>
          <w:rFonts w:ascii="Times New Roman" w:hAnsi="Times New Roman" w:cs="Times New Roman"/>
          <w:b/>
          <w:sz w:val="28"/>
          <w:szCs w:val="28"/>
        </w:rPr>
        <w:t>三、环境保护设施建设情况</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（一）废水</w:t>
      </w:r>
    </w:p>
    <w:p>
      <w:pPr>
        <w:adjustRightInd w:val="0"/>
        <w:snapToGrid w:val="0"/>
        <w:spacing w:line="360" w:lineRule="auto"/>
        <w:ind w:firstLine="560" w:firstLineChars="200"/>
        <w:jc w:val="left"/>
        <w:rPr>
          <w:rFonts w:hAnsi="宋体"/>
          <w:sz w:val="28"/>
          <w:szCs w:val="28"/>
        </w:rPr>
      </w:pPr>
      <w:r>
        <w:rPr>
          <w:rFonts w:hint="eastAsia" w:hAnsi="宋体"/>
          <w:sz w:val="28"/>
          <w:szCs w:val="28"/>
        </w:rPr>
        <w:t>本项目废水主要为环庚三烯酚酮生产过程萃取分层废水、邻氨基苯磺酰</w:t>
      </w:r>
      <w:r>
        <w:rPr>
          <w:rFonts w:ascii="Times New Roman" w:hAnsi="Times New Roman" w:cs="Times New Roman"/>
          <w:sz w:val="28"/>
          <w:szCs w:val="28"/>
        </w:rPr>
        <w:t>N</w:t>
      </w:r>
      <w:r>
        <w:rPr>
          <w:rFonts w:hint="eastAsia" w:hAnsi="宋体"/>
          <w:sz w:val="28"/>
          <w:szCs w:val="28"/>
        </w:rPr>
        <w:t>乙基苯胺生产过程水洗废水和缩合反应后甩干废水、</w:t>
      </w:r>
      <w:r>
        <w:rPr>
          <w:rFonts w:ascii="Times New Roman" w:hAnsi="Times New Roman" w:cs="Times New Roman"/>
          <w:sz w:val="28"/>
          <w:szCs w:val="28"/>
        </w:rPr>
        <w:t>2,6-二氯-4-氨基苯酚生产过程分层废水和水洗废</w:t>
      </w:r>
      <w:r>
        <w:rPr>
          <w:rFonts w:hint="eastAsia" w:hAnsi="宋体"/>
          <w:sz w:val="28"/>
          <w:szCs w:val="28"/>
        </w:rPr>
        <w:t>水、间硝基苯甲酸生产过程水洗、甩干废水；车间地面、设备冲洗废水；尾气吸收塔排污水；真空机组排污水；生活污水；生产废水收集后经厂区污水处理站处理后排入清水池，生活污水经化粪池沉淀后排入污水处理站清水池汇同经处理后的生产废水通过市政污水管网排入北沟镇综合污水处理厂处理</w:t>
      </w:r>
      <w:r>
        <w:rPr>
          <w:rFonts w:hint="eastAsia"/>
          <w:sz w:val="28"/>
          <w:szCs w:val="28"/>
        </w:rPr>
        <w:t>。</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（二）废气</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1、有组织废气</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本项目有组织废气处理措施如下：</w:t>
      </w:r>
      <w:r>
        <w:rPr>
          <w:rFonts w:hint="eastAsia" w:ascii="Times New Roman" w:hAnsi="Times New Roman" w:cs="Times New Roman"/>
          <w:sz w:val="28"/>
          <w:szCs w:val="28"/>
        </w:rPr>
        <w:t>（1）精化二车间2,6-二氯-4-氨基苯酚生产过程配酸、硝化反应、溶解反应、还原反应N2置换釜内空气、蒸馏废气和邻氨基苯磺酰N乙基苯胺生产过程氯化反应、缩合反应、浓缩结晶、蒸馏产生的废气通过降膜碱吸收+二级碱液吸收+2个碱液喷淋塔+活性炭吸附处理后由25米高排气筒排放；（2）精化二车间静密封泄漏废气、抽真空废气经车间废气收集管道收集后通过碱液喷淋塔+2个碱液喷淋塔+活性炭吸附处理后由25米高排气筒排放；（3）精化二车间2,6-二氯-4-氨基苯酚和邻氨基苯磺酰N乙基苯胺产品烘干废气、氯化反应后烘干废气、车间未收集的废气、还原反应H</w:t>
      </w:r>
      <w:r>
        <w:rPr>
          <w:rFonts w:hint="eastAsia" w:ascii="Times New Roman" w:hAnsi="Times New Roman" w:cs="Times New Roman"/>
          <w:sz w:val="28"/>
          <w:szCs w:val="28"/>
          <w:vertAlign w:val="subscript"/>
        </w:rPr>
        <w:t>2</w:t>
      </w:r>
      <w:r>
        <w:rPr>
          <w:rFonts w:hint="eastAsia" w:ascii="Times New Roman" w:hAnsi="Times New Roman" w:cs="Times New Roman"/>
          <w:sz w:val="28"/>
          <w:szCs w:val="28"/>
        </w:rPr>
        <w:t>置换氮气无组织排放；（4）精化三车间硝基苯甲酸生产过程硝化反应、水解反应、溶剂蒸馏废气、各反应釜抽真空废气、成品烘干废气和环庚三烯酚酮生产过程解聚反应、缩合反应、溶剂蒸馏废气、各反应釜抽真空废气、成品烘干废气以及车间静密封泄漏废气收集后经碱喷淋+2个碱液喷淋塔+活性炭吸附处理后通过25米高排气筒排放；（5）食堂油烟废气经油烟净化器处理后排至室外，</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2、无组织废气</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无组织废气主要为</w:t>
      </w:r>
      <w:r>
        <w:rPr>
          <w:rFonts w:hint="eastAsia" w:ascii="Times New Roman" w:hAnsi="Times New Roman" w:cs="Times New Roman"/>
          <w:sz w:val="28"/>
          <w:szCs w:val="28"/>
        </w:rPr>
        <w:t>（1）产品流化床干燥废气经设备自带旋风除尘器+布袋处理后无组织排放；（2）精化三车间未收集废气直接无组织排放。</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（三）噪声</w:t>
      </w:r>
    </w:p>
    <w:p>
      <w:pPr>
        <w:adjustRightInd w:val="0"/>
        <w:snapToGrid w:val="0"/>
        <w:spacing w:line="360" w:lineRule="auto"/>
        <w:ind w:firstLine="560" w:firstLineChars="200"/>
        <w:jc w:val="left"/>
        <w:rPr>
          <w:rFonts w:ascii="Times New Roman" w:hAnsi="Times New Roman" w:cs="Times New Roman"/>
          <w:sz w:val="28"/>
          <w:szCs w:val="28"/>
        </w:rPr>
      </w:pPr>
      <w:r>
        <w:rPr>
          <w:rFonts w:hint="eastAsia" w:ascii="Times New Roman" w:hAnsi="Times New Roman" w:cs="Times New Roman"/>
          <w:sz w:val="28"/>
          <w:szCs w:val="28"/>
        </w:rPr>
        <w:t>项目噪声源主要为反应釜搅拌机、离心机、风机、水泵等设备产生的噪声。企业通过选用低噪声设备、采取合理布局、减振、隔声等措施降低噪声排放。</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（四）固体废物</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项目一般固废主要包括：生活垃圾，由环卫部门定期清运。</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项目危险废物主要包括：废活性炭、污水处理站污泥、废包装物、反应釜残液、过滤残渣，委托鑫广绿环再生资源股份有限公司处置。</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（五）其他环境保护设施</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1、环境风险防范设施</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企业</w:t>
      </w:r>
      <w:r>
        <w:rPr>
          <w:rFonts w:hint="eastAsia"/>
          <w:sz w:val="28"/>
        </w:rPr>
        <w:t>于车间、仓库、罐区设置灭火器、消防沙、消防栓、有毒、可燃气体报警器等应急设施；安排专业技术人员负责各项环保设施的日常维护和管理，并对环保设施定期监测，确保污染物稳定达标排放</w:t>
      </w:r>
      <w:r>
        <w:rPr>
          <w:rFonts w:ascii="Times New Roman" w:hAnsi="Times New Roman" w:cs="Times New Roman"/>
          <w:sz w:val="28"/>
          <w:szCs w:val="28"/>
        </w:rPr>
        <w:t>，避免废气处理设施故障造成环境污染事故</w:t>
      </w:r>
      <w:r>
        <w:rPr>
          <w:rFonts w:hint="eastAsia" w:ascii="Times New Roman" w:hAnsi="Times New Roman" w:cs="Times New Roman"/>
          <w:sz w:val="28"/>
          <w:szCs w:val="28"/>
        </w:rPr>
        <w:t>和车间火灾次生环境污染事故。另外于厂区设置了三级防控体系，</w:t>
      </w:r>
      <w:r>
        <w:rPr>
          <w:rFonts w:ascii="Times New Roman" w:hAnsi="Times New Roman"/>
          <w:bCs/>
          <w:sz w:val="28"/>
          <w:szCs w:val="28"/>
        </w:rPr>
        <w:t>编制了</w:t>
      </w:r>
      <w:r>
        <w:rPr>
          <w:rFonts w:hint="eastAsia" w:ascii="Times New Roman" w:hAnsi="Times New Roman"/>
          <w:bCs/>
          <w:sz w:val="28"/>
          <w:szCs w:val="28"/>
        </w:rPr>
        <w:t>《蓬莱市前卫化工有限公司突发环境事件应急预案》</w:t>
      </w:r>
      <w:r>
        <w:rPr>
          <w:rFonts w:ascii="Times New Roman" w:hAnsi="Times New Roman"/>
          <w:bCs/>
          <w:sz w:val="28"/>
          <w:szCs w:val="28"/>
        </w:rPr>
        <w:t>，</w:t>
      </w:r>
      <w:r>
        <w:rPr>
          <w:rFonts w:hint="eastAsia" w:ascii="Times New Roman" w:hAnsi="Times New Roman"/>
          <w:bCs/>
          <w:sz w:val="28"/>
          <w:szCs w:val="28"/>
        </w:rPr>
        <w:t>并报蓬莱市环境监测站备案，备案编号为</w:t>
      </w:r>
      <w:r>
        <w:rPr>
          <w:rFonts w:ascii="Times New Roman" w:hAnsi="Times New Roman"/>
          <w:bCs/>
          <w:sz w:val="28"/>
          <w:szCs w:val="28"/>
        </w:rPr>
        <w:t>370684-2017-0050-M</w:t>
      </w:r>
      <w:r>
        <w:rPr>
          <w:rFonts w:hint="eastAsia" w:ascii="Times New Roman" w:hAnsi="Times New Roman"/>
          <w:bCs/>
          <w:sz w:val="28"/>
          <w:szCs w:val="28"/>
        </w:rPr>
        <w:t>。</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2、其他</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本</w:t>
      </w:r>
      <w:r>
        <w:rPr>
          <w:rFonts w:hint="eastAsia" w:ascii="Times New Roman" w:hAnsi="Times New Roman" w:cs="Times New Roman"/>
          <w:sz w:val="28"/>
          <w:szCs w:val="28"/>
        </w:rPr>
        <w:t>项目废气排放口设置了监测孔、永久性采样平台和</w:t>
      </w:r>
      <w:r>
        <w:rPr>
          <w:rFonts w:hint="eastAsia" w:ascii="Times New Roman" w:hAnsi="Times New Roman" w:cs="Times New Roman"/>
          <w:color w:val="auto"/>
          <w:sz w:val="28"/>
          <w:szCs w:val="28"/>
        </w:rPr>
        <w:t>废气排放口标识牌；厂区污水总排口设置了排污口标识牌。未设置废水、废气在</w:t>
      </w:r>
      <w:r>
        <w:rPr>
          <w:rFonts w:hint="eastAsia" w:ascii="Times New Roman" w:hAnsi="Times New Roman" w:cs="Times New Roman"/>
          <w:sz w:val="28"/>
          <w:szCs w:val="28"/>
        </w:rPr>
        <w:t>线监测装置</w:t>
      </w:r>
      <w:r>
        <w:rPr>
          <w:rFonts w:ascii="Times New Roman" w:hAnsi="Times New Roman" w:cs="Times New Roman"/>
          <w:sz w:val="28"/>
          <w:szCs w:val="28"/>
        </w:rPr>
        <w:t>。</w:t>
      </w:r>
    </w:p>
    <w:p>
      <w:pPr>
        <w:adjustRightInd w:val="0"/>
        <w:snapToGrid w:val="0"/>
        <w:spacing w:line="360" w:lineRule="auto"/>
        <w:ind w:firstLine="560" w:firstLineChars="200"/>
        <w:jc w:val="left"/>
        <w:rPr>
          <w:rFonts w:ascii="Times New Roman" w:hAnsi="Times New Roman" w:cs="Times New Roman"/>
          <w:b/>
          <w:sz w:val="28"/>
          <w:szCs w:val="28"/>
        </w:rPr>
      </w:pPr>
      <w:r>
        <w:rPr>
          <w:rFonts w:ascii="Times New Roman" w:hAnsi="Times New Roman" w:cs="Times New Roman"/>
          <w:b/>
          <w:sz w:val="28"/>
          <w:szCs w:val="28"/>
        </w:rPr>
        <w:t>四、环境保护设施验收监测结果</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（一）污染物达标排放情况</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1、废气</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验收监测期间，有组织废气：</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宋体"/>
          <w:sz w:val="28"/>
          <w:szCs w:val="28"/>
        </w:rPr>
        <w:t>工艺废气排气筒中氮氧化物、硫酸雾、酚类、非甲烷总烃、氯化氢、氯气排放浓度和排放速率均满足《大气污染物综合排放标准》（GB16297-1996）表2二级标准；污水处理站废气排气筒中氨、硫化氢、臭气浓度排放均满足《恶臭污染物排放标准》（GB14554-1993）表2标准；油烟排气筒中油烟浓度、臭气浓度、油烟净化效率均满足《饮食业油烟排放标准》（DB37/597-2006）表4小型标准、表3小型标准和4.3节。</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验收监测期间，无组织废气：</w:t>
      </w:r>
    </w:p>
    <w:p>
      <w:pPr>
        <w:adjustRightInd w:val="0"/>
        <w:snapToGrid w:val="0"/>
        <w:spacing w:line="360" w:lineRule="auto"/>
        <w:ind w:firstLine="560" w:firstLineChars="200"/>
        <w:rPr>
          <w:rFonts w:hAnsi="宋体"/>
          <w:sz w:val="28"/>
          <w:szCs w:val="28"/>
        </w:rPr>
      </w:pPr>
      <w:r>
        <w:rPr>
          <w:rFonts w:hint="eastAsia" w:hAnsi="宋体"/>
          <w:sz w:val="28"/>
          <w:szCs w:val="28"/>
        </w:rPr>
        <w:t>厂界监控点颗粒物、氮氧化物、硫酸雾、酚类、非甲烷总烃、氯化氢、氯气排放浓度满足《大气污染物综合排放标准》</w:t>
      </w:r>
      <w:r>
        <w:rPr>
          <w:rFonts w:ascii="Times New Roman" w:hAnsi="Times New Roman" w:cs="Times New Roman"/>
          <w:sz w:val="28"/>
          <w:szCs w:val="28"/>
        </w:rPr>
        <w:t>（GB16297-1996）表2无组织排放监控浓度限值；氨、硫化氢、臭气浓度满足《恶臭污染物排放标准》（GB14554-1993）表1二</w:t>
      </w:r>
      <w:r>
        <w:rPr>
          <w:rFonts w:hint="eastAsia" w:hAnsi="宋体"/>
          <w:sz w:val="28"/>
          <w:szCs w:val="28"/>
        </w:rPr>
        <w:t>级新扩改建标准。</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2、废水</w:t>
      </w:r>
    </w:p>
    <w:p>
      <w:pPr>
        <w:pStyle w:val="11"/>
        <w:ind w:firstLine="552"/>
        <w:rPr>
          <w:color w:val="FF0000"/>
          <w:sz w:val="28"/>
          <w:szCs w:val="28"/>
        </w:rPr>
      </w:pPr>
      <w:r>
        <w:rPr>
          <w:rFonts w:hint="eastAsia"/>
          <w:sz w:val="28"/>
          <w:szCs w:val="28"/>
        </w:rPr>
        <w:t>验收监测期间，</w:t>
      </w:r>
      <w:r>
        <w:rPr>
          <w:rFonts w:hint="eastAsia"/>
          <w:color w:val="auto"/>
          <w:sz w:val="28"/>
          <w:szCs w:val="28"/>
        </w:rPr>
        <w:t>废水各污染物浓度满足《污水排入城镇下水道水质标准》（</w:t>
      </w:r>
      <w:r>
        <w:rPr>
          <w:color w:val="auto"/>
          <w:sz w:val="28"/>
          <w:szCs w:val="28"/>
        </w:rPr>
        <w:t>GB31962-2015</w:t>
      </w:r>
      <w:r>
        <w:rPr>
          <w:rFonts w:hint="eastAsia"/>
          <w:color w:val="auto"/>
          <w:sz w:val="28"/>
          <w:szCs w:val="28"/>
        </w:rPr>
        <w:t>）表1中B级标准要求。</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3、厂界噪声</w:t>
      </w:r>
    </w:p>
    <w:p>
      <w:pPr>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验收监测期间，</w:t>
      </w:r>
      <w:r>
        <w:rPr>
          <w:rFonts w:hint="eastAsia" w:ascii="Times New Roman" w:hAnsi="Times New Roman" w:cs="Times New Roman"/>
          <w:sz w:val="28"/>
          <w:szCs w:val="28"/>
        </w:rPr>
        <w:t>厂界昼夜噪声测定值均满足《工业企业厂界环境噪声排放标准》（GB 12348-2008）3类标准要求。</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4、固体废物</w:t>
      </w:r>
    </w:p>
    <w:p>
      <w:pPr>
        <w:adjustRightInd w:val="0"/>
        <w:snapToGrid w:val="0"/>
        <w:spacing w:line="360" w:lineRule="auto"/>
        <w:ind w:firstLine="560" w:firstLineChars="200"/>
        <w:jc w:val="left"/>
        <w:rPr>
          <w:rFonts w:ascii="Times New Roman" w:hAnsi="Times New Roman" w:cs="Times New Roman"/>
          <w:sz w:val="28"/>
          <w:szCs w:val="28"/>
        </w:rPr>
      </w:pPr>
      <w:r>
        <w:rPr>
          <w:rFonts w:hint="eastAsia" w:ascii="Times New Roman" w:hAnsi="Times New Roman" w:cs="Times New Roman"/>
          <w:sz w:val="28"/>
          <w:szCs w:val="28"/>
        </w:rPr>
        <w:t>项目一般固废主要包括：生活垃圾，由环卫部门定期清运。</w:t>
      </w:r>
    </w:p>
    <w:p>
      <w:pPr>
        <w:adjustRightInd w:val="0"/>
        <w:snapToGrid w:val="0"/>
        <w:spacing w:line="360" w:lineRule="auto"/>
        <w:ind w:firstLine="560" w:firstLineChars="200"/>
        <w:jc w:val="left"/>
        <w:rPr>
          <w:rFonts w:ascii="Times New Roman" w:hAnsi="Times New Roman" w:cs="Times New Roman"/>
          <w:sz w:val="28"/>
          <w:szCs w:val="28"/>
        </w:rPr>
      </w:pPr>
      <w:r>
        <w:rPr>
          <w:rFonts w:hint="eastAsia" w:ascii="Times New Roman" w:hAnsi="Times New Roman" w:cs="Times New Roman"/>
          <w:sz w:val="28"/>
          <w:szCs w:val="28"/>
        </w:rPr>
        <w:t>项目危险废物主要包括：废活性炭、污水处理站污泥、废包装物、反应釜残液、过滤残渣，委托鑫广绿环再生资源股份有限公司处置。</w:t>
      </w:r>
    </w:p>
    <w:p>
      <w:pPr>
        <w:adjustRightInd w:val="0"/>
        <w:snapToGrid w:val="0"/>
        <w:spacing w:line="360" w:lineRule="auto"/>
        <w:ind w:firstLine="560" w:firstLineChars="200"/>
        <w:rPr>
          <w:rFonts w:ascii="Times New Roman" w:hAnsi="Times New Roman" w:cs="Times New Roman"/>
          <w:b/>
          <w:sz w:val="28"/>
          <w:szCs w:val="28"/>
        </w:rPr>
      </w:pPr>
      <w:r>
        <w:rPr>
          <w:rFonts w:hint="eastAsia" w:ascii="Times New Roman" w:hAnsi="Times New Roman" w:cs="Times New Roman"/>
          <w:b/>
          <w:sz w:val="28"/>
          <w:szCs w:val="28"/>
        </w:rPr>
        <w:t>五、工程建设对环境的影响</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1、环境空气</w:t>
      </w:r>
    </w:p>
    <w:p>
      <w:pPr>
        <w:adjustRightInd w:val="0"/>
        <w:snapToGrid w:val="0"/>
        <w:spacing w:line="360" w:lineRule="auto"/>
        <w:ind w:firstLine="560" w:firstLineChars="200"/>
        <w:jc w:val="left"/>
        <w:rPr>
          <w:rFonts w:ascii="Times New Roman" w:hAnsi="Times New Roman" w:cs="Times New Roman"/>
          <w:sz w:val="28"/>
          <w:szCs w:val="28"/>
        </w:rPr>
      </w:pPr>
      <w:r>
        <w:rPr>
          <w:rFonts w:ascii="Times New Roman" w:hAnsi="Times New Roman" w:cs="Times New Roman"/>
          <w:sz w:val="28"/>
          <w:szCs w:val="28"/>
        </w:rPr>
        <w:t>验收监测期间，环境空气监测点</w:t>
      </w:r>
      <w:r>
        <w:rPr>
          <w:rFonts w:hint="eastAsia" w:ascii="Times New Roman" w:hAnsi="Times New Roman" w:cs="Times New Roman"/>
          <w:sz w:val="28"/>
          <w:szCs w:val="28"/>
        </w:rPr>
        <w:t>北沟一村TSP</w:t>
      </w:r>
      <w:r>
        <w:rPr>
          <w:rFonts w:ascii="Times New Roman" w:hAnsi="Times New Roman" w:cs="Times New Roman"/>
          <w:sz w:val="28"/>
          <w:szCs w:val="28"/>
        </w:rPr>
        <w:t>日均浓度值</w:t>
      </w:r>
      <w:r>
        <w:rPr>
          <w:rFonts w:hint="eastAsia" w:ascii="Times New Roman" w:hAnsi="Times New Roman" w:cs="Times New Roman"/>
          <w:sz w:val="28"/>
          <w:szCs w:val="28"/>
        </w:rPr>
        <w:t>、氮氧化物小时浓度值均</w:t>
      </w:r>
      <w:r>
        <w:rPr>
          <w:rFonts w:ascii="Times New Roman" w:hAnsi="Times New Roman" w:cs="Times New Roman"/>
          <w:sz w:val="28"/>
          <w:szCs w:val="28"/>
        </w:rPr>
        <w:t>满足《环境空气质量标准》（GB3095-2012）二级标准要求</w:t>
      </w:r>
      <w:r>
        <w:rPr>
          <w:rFonts w:hint="eastAsia" w:ascii="Times New Roman" w:hAnsi="Times New Roman" w:cs="Times New Roman"/>
          <w:sz w:val="28"/>
          <w:szCs w:val="28"/>
        </w:rPr>
        <w:t>；氯化氢、氯气、氨、硫酸雾、酚类小时值浓度满足参照标准《工业企业设计卫生标准》（TJ36-79）表1居住区大气中有害物质的最高容许浓度。</w:t>
      </w:r>
    </w:p>
    <w:p>
      <w:pPr>
        <w:adjustRightInd w:val="0"/>
        <w:snapToGrid w:val="0"/>
        <w:spacing w:line="360" w:lineRule="auto"/>
        <w:ind w:firstLine="560" w:firstLineChars="200"/>
        <w:rPr>
          <w:rFonts w:ascii="Times New Roman" w:hAnsi="Times New Roman" w:cs="Times New Roman"/>
          <w:sz w:val="28"/>
          <w:szCs w:val="28"/>
          <w:lang w:val="zh-CN"/>
        </w:rPr>
      </w:pPr>
      <w:r>
        <w:rPr>
          <w:rFonts w:hint="eastAsia" w:ascii="Times New Roman" w:hAnsi="Times New Roman" w:cs="Times New Roman"/>
          <w:sz w:val="28"/>
          <w:szCs w:val="28"/>
          <w:lang w:val="zh-CN"/>
        </w:rPr>
        <w:t>2、地下水</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验收监测期间，厂区和聂家村地下水各监测指标均满足《地下水质量标准》（GB/T 14848-93）Ⅲ类标准要求。</w:t>
      </w:r>
    </w:p>
    <w:p>
      <w:pPr>
        <w:adjustRightInd w:val="0"/>
        <w:snapToGrid w:val="0"/>
        <w:spacing w:line="360" w:lineRule="auto"/>
        <w:ind w:firstLine="560" w:firstLineChars="200"/>
        <w:jc w:val="left"/>
        <w:rPr>
          <w:rFonts w:ascii="Times New Roman" w:hAnsi="Times New Roman" w:cs="Times New Roman"/>
          <w:b/>
          <w:sz w:val="28"/>
          <w:szCs w:val="28"/>
        </w:rPr>
      </w:pPr>
      <w:r>
        <w:rPr>
          <w:rFonts w:hint="eastAsia" w:ascii="Times New Roman" w:hAnsi="Times New Roman" w:cs="Times New Roman"/>
          <w:b/>
          <w:sz w:val="28"/>
          <w:szCs w:val="28"/>
        </w:rPr>
        <w:t>六</w:t>
      </w:r>
      <w:r>
        <w:rPr>
          <w:rFonts w:ascii="Times New Roman" w:hAnsi="Times New Roman" w:cs="Times New Roman"/>
          <w:b/>
          <w:sz w:val="28"/>
          <w:szCs w:val="28"/>
        </w:rPr>
        <w:t>、验收结论</w:t>
      </w:r>
    </w:p>
    <w:p>
      <w:pPr>
        <w:adjustRightInd w:val="0"/>
        <w:snapToGrid w:val="0"/>
        <w:spacing w:line="360" w:lineRule="auto"/>
        <w:ind w:firstLine="560" w:firstLineChars="200"/>
        <w:jc w:val="left"/>
        <w:rPr>
          <w:rFonts w:ascii="Times New Roman" w:hAnsi="Times New Roman" w:cs="Times New Roman"/>
          <w:color w:val="auto"/>
          <w:sz w:val="28"/>
          <w:szCs w:val="28"/>
          <w:u w:val="single"/>
        </w:rPr>
      </w:pPr>
      <w:r>
        <w:rPr>
          <w:rFonts w:ascii="Times New Roman" w:hAnsi="Times New Roman" w:cs="Times New Roman"/>
          <w:sz w:val="28"/>
          <w:szCs w:val="28"/>
        </w:rPr>
        <w:t>本工程环境保护手续齐全，在实施过程中基本按照</w:t>
      </w:r>
      <w:r>
        <w:rPr>
          <w:rFonts w:ascii="Times New Roman" w:hAnsi="Times New Roman" w:cs="Times New Roman"/>
          <w:color w:val="auto"/>
          <w:sz w:val="28"/>
          <w:szCs w:val="28"/>
        </w:rPr>
        <w:t>环评文件及批复要求配套建设和采取了相应的环境保护设施、措施，各类污染物达标排放，</w:t>
      </w:r>
      <w:r>
        <w:rPr>
          <w:rFonts w:hint="eastAsia" w:ascii="Times New Roman" w:hAnsi="Times New Roman" w:cs="Times New Roman"/>
          <w:color w:val="auto"/>
          <w:sz w:val="28"/>
          <w:szCs w:val="28"/>
        </w:rPr>
        <w:t>基本</w:t>
      </w:r>
      <w:r>
        <w:rPr>
          <w:rFonts w:ascii="Times New Roman" w:hAnsi="Times New Roman" w:cs="Times New Roman"/>
          <w:color w:val="auto"/>
          <w:sz w:val="28"/>
          <w:szCs w:val="28"/>
        </w:rPr>
        <w:t>符合建设项目竣工环保验收条件，</w:t>
      </w:r>
      <w:r>
        <w:rPr>
          <w:rFonts w:hint="eastAsia" w:ascii="Times New Roman" w:hAnsi="Times New Roman" w:cs="Times New Roman"/>
          <w:color w:val="auto"/>
          <w:sz w:val="28"/>
          <w:szCs w:val="28"/>
          <w:u w:val="single"/>
        </w:rPr>
        <w:t>在按本验收意见第七项进行修改完善后，</w:t>
      </w:r>
      <w:r>
        <w:rPr>
          <w:rFonts w:ascii="Times New Roman" w:hAnsi="Times New Roman" w:cs="Times New Roman"/>
          <w:color w:val="auto"/>
          <w:sz w:val="28"/>
          <w:szCs w:val="28"/>
          <w:u w:val="single"/>
        </w:rPr>
        <w:t>工程竣工环境保护验收合格。</w:t>
      </w:r>
    </w:p>
    <w:p>
      <w:pPr>
        <w:adjustRightInd w:val="0"/>
        <w:snapToGrid w:val="0"/>
        <w:spacing w:line="360" w:lineRule="auto"/>
        <w:ind w:firstLine="560" w:firstLineChars="200"/>
        <w:jc w:val="left"/>
        <w:rPr>
          <w:rFonts w:ascii="Times New Roman" w:hAnsi="Times New Roman" w:cs="Times New Roman"/>
          <w:b/>
          <w:sz w:val="28"/>
          <w:szCs w:val="28"/>
        </w:rPr>
      </w:pPr>
      <w:r>
        <w:rPr>
          <w:rFonts w:hint="eastAsia" w:ascii="Times New Roman" w:hAnsi="Times New Roman" w:cs="Times New Roman"/>
          <w:b/>
          <w:sz w:val="28"/>
          <w:szCs w:val="28"/>
        </w:rPr>
        <w:t>七</w:t>
      </w:r>
      <w:r>
        <w:rPr>
          <w:rFonts w:ascii="Times New Roman" w:hAnsi="Times New Roman" w:cs="Times New Roman"/>
          <w:b/>
          <w:sz w:val="28"/>
          <w:szCs w:val="28"/>
        </w:rPr>
        <w:t>、验收报告修改意见和后续工作建议</w:t>
      </w:r>
    </w:p>
    <w:p>
      <w:pPr>
        <w:adjustRightInd w:val="0"/>
        <w:snapToGrid w:val="0"/>
        <w:spacing w:line="360" w:lineRule="auto"/>
        <w:ind w:firstLine="560" w:firstLineChars="200"/>
        <w:jc w:val="left"/>
        <w:rPr>
          <w:rFonts w:ascii="Times New Roman" w:hAnsi="Times New Roman" w:cs="Times New Roman"/>
          <w:color w:val="auto"/>
          <w:sz w:val="28"/>
          <w:szCs w:val="28"/>
        </w:rPr>
      </w:pPr>
      <w:r>
        <w:rPr>
          <w:rFonts w:ascii="Times New Roman" w:hAnsi="Times New Roman" w:cs="Times New Roman"/>
          <w:color w:val="auto"/>
          <w:sz w:val="28"/>
          <w:szCs w:val="28"/>
        </w:rPr>
        <w:t>1.</w:t>
      </w:r>
      <w:r>
        <w:rPr>
          <w:rFonts w:hint="eastAsia" w:ascii="Times New Roman" w:hAnsi="Times New Roman" w:cs="Times New Roman"/>
          <w:color w:val="auto"/>
          <w:sz w:val="28"/>
          <w:szCs w:val="28"/>
        </w:rPr>
        <w:t>完善环境突发事件应急预案并进行演练（液氯、氢气罐泄漏），并做好记录。</w:t>
      </w:r>
    </w:p>
    <w:p>
      <w:pPr>
        <w:adjustRightInd w:val="0"/>
        <w:snapToGrid w:val="0"/>
        <w:spacing w:line="360" w:lineRule="auto"/>
        <w:ind w:firstLine="560" w:firstLineChars="200"/>
        <w:jc w:val="left"/>
        <w:rPr>
          <w:rFonts w:ascii="Times New Roman" w:hAnsi="Times New Roman" w:cs="Times New Roman"/>
          <w:color w:val="auto"/>
          <w:sz w:val="28"/>
          <w:szCs w:val="28"/>
        </w:rPr>
      </w:pPr>
      <w:r>
        <w:rPr>
          <w:rFonts w:hint="eastAsia" w:ascii="Times New Roman" w:hAnsi="Times New Roman" w:cs="Times New Roman"/>
          <w:color w:val="auto"/>
          <w:sz w:val="28"/>
          <w:szCs w:val="28"/>
        </w:rPr>
        <w:t>2</w:t>
      </w:r>
      <w:r>
        <w:rPr>
          <w:rFonts w:ascii="Times New Roman" w:hAnsi="Times New Roman" w:cs="Times New Roman"/>
          <w:color w:val="auto"/>
          <w:sz w:val="28"/>
          <w:szCs w:val="28"/>
        </w:rPr>
        <w:t>.</w:t>
      </w:r>
      <w:r>
        <w:rPr>
          <w:rFonts w:hint="eastAsia" w:ascii="Times New Roman" w:hAnsi="Times New Roman" w:cs="Times New Roman"/>
          <w:color w:val="auto"/>
          <w:sz w:val="28"/>
          <w:szCs w:val="28"/>
        </w:rPr>
        <w:t>明确消防用水的来源。</w:t>
      </w:r>
    </w:p>
    <w:p>
      <w:pPr>
        <w:adjustRightInd w:val="0"/>
        <w:snapToGrid w:val="0"/>
        <w:spacing w:line="360" w:lineRule="auto"/>
        <w:ind w:firstLine="560" w:firstLineChars="200"/>
        <w:jc w:val="left"/>
        <w:rPr>
          <w:rFonts w:ascii="Times New Roman" w:hAnsi="Times New Roman" w:cs="Times New Roman"/>
          <w:color w:val="auto"/>
          <w:sz w:val="28"/>
          <w:szCs w:val="28"/>
        </w:rPr>
      </w:pPr>
      <w:r>
        <w:rPr>
          <w:rFonts w:hint="eastAsia" w:ascii="Times New Roman" w:hAnsi="Times New Roman" w:cs="Times New Roman"/>
          <w:color w:val="auto"/>
          <w:sz w:val="28"/>
          <w:szCs w:val="28"/>
        </w:rPr>
        <w:t>3.根据《工业污染源现场检查技术规范》（HJ606-2011）中有关要求，做好迎检工作，加强现场管理和人员培训，并做好记录。</w:t>
      </w:r>
    </w:p>
    <w:p>
      <w:pPr>
        <w:adjustRightInd w:val="0"/>
        <w:snapToGrid w:val="0"/>
        <w:spacing w:line="360" w:lineRule="auto"/>
        <w:ind w:firstLine="560" w:firstLineChars="200"/>
        <w:jc w:val="left"/>
        <w:rPr>
          <w:rFonts w:ascii="Times New Roman" w:hAnsi="Times New Roman" w:cs="Times New Roman"/>
          <w:color w:val="auto"/>
          <w:sz w:val="28"/>
          <w:szCs w:val="28"/>
        </w:rPr>
      </w:pPr>
      <w:r>
        <w:rPr>
          <w:rFonts w:hint="eastAsia" w:ascii="Times New Roman" w:hAnsi="Times New Roman" w:cs="Times New Roman"/>
          <w:color w:val="auto"/>
          <w:sz w:val="28"/>
          <w:szCs w:val="28"/>
        </w:rPr>
        <w:t>4.做好废水排放口规范化管理。</w:t>
      </w:r>
    </w:p>
    <w:p>
      <w:pPr>
        <w:adjustRightInd w:val="0"/>
        <w:snapToGrid w:val="0"/>
        <w:spacing w:line="360" w:lineRule="auto"/>
        <w:ind w:firstLine="420" w:firstLineChars="200"/>
        <w:jc w:val="left"/>
        <w:rPr>
          <w:rFonts w:ascii="Times New Roman" w:hAnsi="Times New Roman" w:cs="Times New Roman"/>
          <w:color w:val="FF0000"/>
          <w:szCs w:val="21"/>
        </w:rPr>
      </w:pPr>
      <w:bookmarkStart w:id="0" w:name="_GoBack"/>
      <w:bookmarkEnd w:id="0"/>
    </w:p>
    <w:p>
      <w:pPr>
        <w:adjustRightInd w:val="0"/>
        <w:snapToGrid w:val="0"/>
        <w:spacing w:line="360" w:lineRule="auto"/>
        <w:ind w:firstLine="560" w:firstLineChars="200"/>
        <w:jc w:val="left"/>
        <w:rPr>
          <w:rFonts w:ascii="Times New Roman" w:hAnsi="Times New Roman" w:cs="Times New Roman"/>
          <w:sz w:val="28"/>
          <w:szCs w:val="28"/>
        </w:rPr>
      </w:pPr>
    </w:p>
    <w:p>
      <w:pPr>
        <w:adjustRightInd w:val="0"/>
        <w:snapToGrid w:val="0"/>
        <w:spacing w:line="360" w:lineRule="auto"/>
        <w:ind w:firstLine="560" w:firstLineChars="200"/>
        <w:jc w:val="left"/>
        <w:rPr>
          <w:rFonts w:ascii="Times New Roman" w:hAnsi="Times New Roman" w:cs="Times New Roman"/>
          <w:b/>
          <w:sz w:val="28"/>
          <w:szCs w:val="28"/>
        </w:rPr>
      </w:pPr>
      <w:r>
        <w:rPr>
          <w:rFonts w:ascii="Times New Roman" w:hAnsi="Times New Roman" w:cs="Times New Roman"/>
          <w:b/>
          <w:sz w:val="28"/>
          <w:szCs w:val="28"/>
        </w:rPr>
        <w:t xml:space="preserve">                                    验收组</w:t>
      </w:r>
    </w:p>
    <w:p>
      <w:pPr>
        <w:adjustRightInd w:val="0"/>
        <w:snapToGrid w:val="0"/>
        <w:spacing w:line="360" w:lineRule="auto"/>
        <w:ind w:firstLine="560" w:firstLineChars="200"/>
        <w:jc w:val="left"/>
        <w:rPr>
          <w:rFonts w:ascii="Times New Roman" w:hAnsi="Times New Roman" w:cs="Times New Roman"/>
          <w:b/>
          <w:sz w:val="28"/>
          <w:szCs w:val="28"/>
        </w:rPr>
      </w:pPr>
      <w:r>
        <w:rPr>
          <w:rFonts w:ascii="Times New Roman" w:hAnsi="Times New Roman" w:cs="Times New Roman"/>
          <w:b/>
          <w:sz w:val="28"/>
          <w:szCs w:val="28"/>
        </w:rPr>
        <w:t xml:space="preserve">                                </w:t>
      </w:r>
      <w:r>
        <w:rPr>
          <w:rFonts w:hint="eastAsia" w:ascii="Times New Roman" w:hAnsi="Times New Roman" w:cs="Times New Roman"/>
          <w:b/>
          <w:sz w:val="28"/>
          <w:szCs w:val="28"/>
        </w:rPr>
        <w:t xml:space="preserve"> </w:t>
      </w:r>
      <w:r>
        <w:rPr>
          <w:rFonts w:ascii="Times New Roman" w:hAnsi="Times New Roman" w:cs="Times New Roman"/>
          <w:b/>
          <w:sz w:val="28"/>
          <w:szCs w:val="28"/>
        </w:rPr>
        <w:t xml:space="preserve"> </w:t>
      </w:r>
      <w:r>
        <w:rPr>
          <w:rFonts w:hint="eastAsia" w:ascii="Times New Roman" w:hAnsi="Times New Roman" w:cs="Times New Roman"/>
          <w:b/>
          <w:sz w:val="28"/>
          <w:szCs w:val="28"/>
        </w:rPr>
        <w:t xml:space="preserve"> </w:t>
      </w:r>
      <w:r>
        <w:rPr>
          <w:rFonts w:ascii="Times New Roman" w:hAnsi="Times New Roman" w:cs="Times New Roman"/>
          <w:b/>
          <w:sz w:val="28"/>
          <w:szCs w:val="28"/>
        </w:rPr>
        <w:t xml:space="preserve"> 201</w:t>
      </w:r>
      <w:r>
        <w:rPr>
          <w:rFonts w:hint="eastAsia" w:ascii="Times New Roman" w:hAnsi="Times New Roman" w:cs="Times New Roman"/>
          <w:b/>
          <w:sz w:val="28"/>
          <w:szCs w:val="28"/>
        </w:rPr>
        <w:t>8</w:t>
      </w:r>
      <w:r>
        <w:rPr>
          <w:rFonts w:ascii="Times New Roman" w:hAnsi="Times New Roman" w:cs="Times New Roman"/>
          <w:b/>
          <w:sz w:val="28"/>
          <w:szCs w:val="28"/>
        </w:rPr>
        <w:t>.</w:t>
      </w:r>
      <w:r>
        <w:rPr>
          <w:rFonts w:hint="eastAsia" w:ascii="Times New Roman" w:hAnsi="Times New Roman" w:cs="Times New Roman"/>
          <w:b/>
          <w:sz w:val="28"/>
          <w:szCs w:val="28"/>
        </w:rPr>
        <w:t>1</w:t>
      </w:r>
      <w:r>
        <w:rPr>
          <w:rFonts w:ascii="Times New Roman" w:hAnsi="Times New Roman" w:cs="Times New Roman"/>
          <w:b/>
          <w:sz w:val="28"/>
          <w:szCs w:val="28"/>
        </w:rPr>
        <w:t>.</w:t>
      </w:r>
      <w:r>
        <w:rPr>
          <w:rFonts w:hint="eastAsia" w:ascii="Times New Roman" w:hAnsi="Times New Roman" w:cs="Times New Roman"/>
          <w:b/>
          <w:sz w:val="28"/>
          <w:szCs w:val="28"/>
        </w:rPr>
        <w:t>2</w:t>
      </w:r>
    </w:p>
    <w:p>
      <w:pPr>
        <w:adjustRightInd w:val="0"/>
        <w:snapToGrid w:val="0"/>
        <w:spacing w:line="360" w:lineRule="auto"/>
        <w:jc w:val="left"/>
        <w:rPr>
          <w:rFonts w:ascii="Times New Roman" w:hAnsi="Times New Roman" w:cs="Times New Roman"/>
          <w:b/>
          <w:sz w:val="28"/>
          <w:szCs w:val="28"/>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E95"/>
    <w:rsid w:val="000345C6"/>
    <w:rsid w:val="00035D78"/>
    <w:rsid w:val="00165A18"/>
    <w:rsid w:val="001B41DC"/>
    <w:rsid w:val="001C66B4"/>
    <w:rsid w:val="002B53C6"/>
    <w:rsid w:val="0034336B"/>
    <w:rsid w:val="003B7E95"/>
    <w:rsid w:val="00416C90"/>
    <w:rsid w:val="005B3548"/>
    <w:rsid w:val="005E61A6"/>
    <w:rsid w:val="00632D81"/>
    <w:rsid w:val="006B6117"/>
    <w:rsid w:val="006B6DFE"/>
    <w:rsid w:val="006D2675"/>
    <w:rsid w:val="00726350"/>
    <w:rsid w:val="00746BF8"/>
    <w:rsid w:val="00753C36"/>
    <w:rsid w:val="00761304"/>
    <w:rsid w:val="007F0367"/>
    <w:rsid w:val="008B6BAC"/>
    <w:rsid w:val="008D2EB5"/>
    <w:rsid w:val="00953D70"/>
    <w:rsid w:val="009A34CB"/>
    <w:rsid w:val="00AC7067"/>
    <w:rsid w:val="00BD19D9"/>
    <w:rsid w:val="00C2161F"/>
    <w:rsid w:val="00C27288"/>
    <w:rsid w:val="00D12169"/>
    <w:rsid w:val="00D70141"/>
    <w:rsid w:val="00DF298A"/>
    <w:rsid w:val="00E64A53"/>
    <w:rsid w:val="00F47939"/>
    <w:rsid w:val="00F531BB"/>
    <w:rsid w:val="00FD576F"/>
    <w:rsid w:val="00FD7537"/>
    <w:rsid w:val="00FF2A98"/>
    <w:rsid w:val="0CFA3D05"/>
    <w:rsid w:val="11077B41"/>
    <w:rsid w:val="2FBD1B8D"/>
    <w:rsid w:val="40AD78EB"/>
    <w:rsid w:val="4D556887"/>
    <w:rsid w:val="76F70A0F"/>
    <w:rsid w:val="7B024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ody Text First Indent"/>
    <w:basedOn w:val="3"/>
    <w:link w:val="14"/>
    <w:uiPriority w:val="0"/>
    <w:pPr>
      <w:ind w:firstLine="420"/>
    </w:pPr>
    <w:rPr>
      <w:rFonts w:ascii="Times New Roman" w:hAnsi="Times New Roman" w:eastAsia="宋体" w:cs="Times New Roman"/>
      <w:szCs w:val="20"/>
      <w:lang w:val="zh-CN"/>
    </w:rPr>
  </w:style>
  <w:style w:type="paragraph" w:styleId="3">
    <w:name w:val="Body Text"/>
    <w:basedOn w:val="1"/>
    <w:link w:val="13"/>
    <w:unhideWhenUsed/>
    <w:uiPriority w:val="99"/>
    <w:pPr>
      <w:spacing w:after="12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5"/>
    <w:uiPriority w:val="99"/>
    <w:rPr>
      <w:sz w:val="18"/>
      <w:szCs w:val="18"/>
    </w:rPr>
  </w:style>
  <w:style w:type="character" w:customStyle="1" w:styleId="10">
    <w:name w:val="页脚 Char"/>
    <w:basedOn w:val="6"/>
    <w:link w:val="4"/>
    <w:uiPriority w:val="99"/>
    <w:rPr>
      <w:sz w:val="18"/>
      <w:szCs w:val="18"/>
    </w:rPr>
  </w:style>
  <w:style w:type="paragraph" w:customStyle="1" w:styleId="11">
    <w:name w:val="文字描述"/>
    <w:basedOn w:val="1"/>
    <w:link w:val="12"/>
    <w:qFormat/>
    <w:uiPriority w:val="0"/>
    <w:pPr>
      <w:adjustRightInd w:val="0"/>
      <w:snapToGrid w:val="0"/>
      <w:spacing w:line="360" w:lineRule="auto"/>
      <w:ind w:firstLine="200" w:firstLineChars="200"/>
    </w:pPr>
    <w:rPr>
      <w:rFonts w:ascii="Times New Roman" w:hAnsi="Times New Roman" w:eastAsia="宋体" w:cs="Times New Roman"/>
      <w:spacing w:val="-2"/>
      <w:sz w:val="24"/>
      <w:szCs w:val="24"/>
    </w:rPr>
  </w:style>
  <w:style w:type="character" w:customStyle="1" w:styleId="12">
    <w:name w:val="文字描述 Char"/>
    <w:link w:val="11"/>
    <w:uiPriority w:val="0"/>
    <w:rPr>
      <w:rFonts w:ascii="Times New Roman" w:hAnsi="Times New Roman" w:eastAsia="宋体" w:cs="Times New Roman"/>
      <w:spacing w:val="-2"/>
      <w:sz w:val="24"/>
      <w:szCs w:val="24"/>
    </w:rPr>
  </w:style>
  <w:style w:type="character" w:customStyle="1" w:styleId="13">
    <w:name w:val="正文文本 Char"/>
    <w:basedOn w:val="6"/>
    <w:link w:val="3"/>
    <w:semiHidden/>
    <w:uiPriority w:val="99"/>
  </w:style>
  <w:style w:type="character" w:customStyle="1" w:styleId="14">
    <w:name w:val="正文首行缩进 Char"/>
    <w:basedOn w:val="13"/>
    <w:link w:val="2"/>
    <w:uiPriority w:val="0"/>
    <w:rPr>
      <w:rFonts w:ascii="Times New Roman" w:hAnsi="Times New Roman" w:eastAsia="宋体" w:cs="Times New Roman"/>
      <w:szCs w:val="20"/>
      <w:lang w:val="zh-CN"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青岛谱尼测试有限公司</Company>
  <Pages>1</Pages>
  <Words>619</Words>
  <Characters>3533</Characters>
  <Lines>29</Lines>
  <Paragraphs>8</Paragraphs>
  <TotalTime>0</TotalTime>
  <ScaleCrop>false</ScaleCrop>
  <LinksUpToDate>false</LinksUpToDate>
  <CharactersWithSpaces>4144</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2017-12-11T07:11:00Z</dcterms:created>
  <dc:creator>hp</dc:creator>
  <cp:lastModifiedBy>hp</cp:lastModifiedBy>
  <dcterms:modified xsi:type="dcterms:W3CDTF">2018-01-16T01:27:13Z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