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5"/>
        <w:snapToGrid w:val="0"/>
        <w:spacing w:before="0" w:line="360" w:lineRule="auto"/>
        <w:jc w:val="center"/>
        <w:rPr>
          <w:color w:val="auto"/>
          <w:sz w:val="32"/>
          <w:szCs w:val="32"/>
        </w:rPr>
      </w:pPr>
      <w:r>
        <w:rPr>
          <w:color w:val="auto"/>
          <w:sz w:val="32"/>
          <w:szCs w:val="32"/>
          <w:lang w:val="zh-CN"/>
        </w:rPr>
        <w:t>目录</w:t>
      </w:r>
    </w:p>
    <w:p>
      <w:pPr>
        <w:pStyle w:val="17"/>
        <w:tabs>
          <w:tab w:val="right" w:leader="dot" w:pos="8730"/>
          <w:tab w:val="clear" w:pos="8296"/>
        </w:tabs>
        <w:snapToGrid w:val="0"/>
        <w:spacing w:line="360" w:lineRule="auto"/>
        <w:rPr>
          <w:sz w:val="24"/>
          <w:szCs w:val="24"/>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"_Toc13436" </w:instrText>
      </w:r>
      <w:r>
        <w:fldChar w:fldCharType="separate"/>
      </w:r>
      <w:r>
        <w:rPr>
          <w:rFonts w:hint="eastAsia"/>
          <w:sz w:val="24"/>
          <w:szCs w:val="24"/>
        </w:rPr>
        <w:t>1 总则</w:t>
      </w:r>
      <w:r>
        <w:rPr>
          <w:sz w:val="24"/>
          <w:szCs w:val="24"/>
        </w:rPr>
        <w:tab/>
      </w:r>
      <w:r>
        <w:rPr>
          <w:sz w:val="24"/>
          <w:szCs w:val="24"/>
        </w:rPr>
        <w:fldChar w:fldCharType="begin"/>
      </w:r>
      <w:r>
        <w:rPr>
          <w:sz w:val="24"/>
          <w:szCs w:val="24"/>
        </w:rPr>
        <w:instrText xml:space="preserve"> PAGEREF _Toc13436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"_Toc27667" </w:instrText>
      </w:r>
      <w:r>
        <w:fldChar w:fldCharType="separate"/>
      </w:r>
      <w:r>
        <w:rPr>
          <w:rFonts w:hint="eastAsia" w:ascii="仿宋_GB2312" w:hAnsi="华文细黑" w:eastAsia="仿宋_GB2312"/>
          <w:sz w:val="24"/>
        </w:rPr>
        <w:t>1.1 编制目的</w:t>
      </w:r>
      <w:r>
        <w:rPr>
          <w:sz w:val="24"/>
        </w:rPr>
        <w:tab/>
      </w:r>
      <w:r>
        <w:rPr>
          <w:sz w:val="24"/>
        </w:rPr>
        <w:fldChar w:fldCharType="begin"/>
      </w:r>
      <w:r>
        <w:rPr>
          <w:sz w:val="24"/>
        </w:rPr>
        <w:instrText xml:space="preserve"> PAGEREF _Toc27667 </w:instrText>
      </w:r>
      <w:r>
        <w:rPr>
          <w:sz w:val="24"/>
        </w:rPr>
        <w:fldChar w:fldCharType="separate"/>
      </w:r>
      <w:r>
        <w:rPr>
          <w:sz w:val="24"/>
        </w:rPr>
        <w:t>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"_Toc23993" </w:instrText>
      </w:r>
      <w:r>
        <w:fldChar w:fldCharType="separate"/>
      </w:r>
      <w:r>
        <w:rPr>
          <w:rFonts w:hint="eastAsia" w:ascii="仿宋_GB2312" w:hAnsi="华文细黑" w:eastAsia="仿宋_GB2312"/>
          <w:sz w:val="24"/>
        </w:rPr>
        <w:t>1.2 编制依据</w:t>
      </w:r>
      <w:r>
        <w:rPr>
          <w:sz w:val="24"/>
        </w:rPr>
        <w:tab/>
      </w:r>
      <w:r>
        <w:rPr>
          <w:sz w:val="24"/>
        </w:rPr>
        <w:fldChar w:fldCharType="begin"/>
      </w:r>
      <w:r>
        <w:rPr>
          <w:sz w:val="24"/>
        </w:rPr>
        <w:instrText xml:space="preserve"> PAGEREF _Toc23993 </w:instrText>
      </w:r>
      <w:r>
        <w:rPr>
          <w:sz w:val="24"/>
        </w:rPr>
        <w:fldChar w:fldCharType="separate"/>
      </w:r>
      <w:r>
        <w:rPr>
          <w:sz w:val="24"/>
        </w:rPr>
        <w:t>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"_Toc11184" </w:instrText>
      </w:r>
      <w:r>
        <w:fldChar w:fldCharType="separate"/>
      </w:r>
      <w:r>
        <w:rPr>
          <w:rFonts w:hint="eastAsia" w:ascii="仿宋_GB2312" w:hAnsi="华文细黑" w:eastAsia="仿宋_GB2312"/>
          <w:sz w:val="24"/>
        </w:rPr>
        <w:t>1.3 适用范围</w:t>
      </w:r>
      <w:r>
        <w:rPr>
          <w:sz w:val="24"/>
        </w:rPr>
        <w:tab/>
      </w:r>
      <w:r>
        <w:rPr>
          <w:sz w:val="24"/>
        </w:rPr>
        <w:fldChar w:fldCharType="begin"/>
      </w:r>
      <w:r>
        <w:rPr>
          <w:sz w:val="24"/>
        </w:rPr>
        <w:instrText xml:space="preserve"> PAGEREF _Toc11184 </w:instrText>
      </w:r>
      <w:r>
        <w:rPr>
          <w:sz w:val="24"/>
        </w:rPr>
        <w:fldChar w:fldCharType="separate"/>
      </w:r>
      <w:r>
        <w:rPr>
          <w:sz w:val="24"/>
        </w:rPr>
        <w:t>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"_Toc21637" </w:instrText>
      </w:r>
      <w:r>
        <w:fldChar w:fldCharType="separate"/>
      </w:r>
      <w:r>
        <w:rPr>
          <w:rFonts w:hint="eastAsia" w:ascii="仿宋_GB2312" w:hAnsi="华文细黑" w:eastAsia="仿宋_GB2312"/>
          <w:sz w:val="24"/>
        </w:rPr>
        <w:t>1.4 事件分级</w:t>
      </w:r>
      <w:r>
        <w:rPr>
          <w:sz w:val="24"/>
        </w:rPr>
        <w:tab/>
      </w:r>
      <w:r>
        <w:rPr>
          <w:sz w:val="24"/>
        </w:rPr>
        <w:fldChar w:fldCharType="begin"/>
      </w:r>
      <w:r>
        <w:rPr>
          <w:sz w:val="24"/>
        </w:rPr>
        <w:instrText xml:space="preserve"> PAGEREF _Toc21637 </w:instrText>
      </w:r>
      <w:r>
        <w:rPr>
          <w:sz w:val="24"/>
        </w:rPr>
        <w:fldChar w:fldCharType="separate"/>
      </w:r>
      <w:r>
        <w:rPr>
          <w:sz w:val="24"/>
        </w:rPr>
        <w:t>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"_Toc28558" </w:instrText>
      </w:r>
      <w:r>
        <w:fldChar w:fldCharType="separate"/>
      </w:r>
      <w:r>
        <w:rPr>
          <w:rFonts w:hint="eastAsia" w:ascii="仿宋_GB2312" w:hAnsi="华文细黑" w:eastAsia="仿宋_GB2312"/>
          <w:sz w:val="24"/>
        </w:rPr>
        <w:t>1.4.1</w:t>
      </w:r>
      <w:r>
        <w:rPr>
          <w:rFonts w:ascii="仿宋_GB2312" w:hAnsi="华文细黑" w:eastAsia="仿宋_GB2312"/>
          <w:sz w:val="24"/>
        </w:rPr>
        <w:t xml:space="preserve"> 重大（</w:t>
      </w:r>
      <w:r>
        <w:rPr>
          <w:rFonts w:hint="eastAsia" w:ascii="仿宋_GB2312" w:eastAsia="仿宋_GB2312"/>
          <w:sz w:val="24"/>
        </w:rPr>
        <w:t>Ⅰ级</w:t>
      </w:r>
      <w:r>
        <w:rPr>
          <w:rFonts w:ascii="仿宋_GB2312" w:hAnsi="华文细黑" w:eastAsia="仿宋_GB2312"/>
          <w:sz w:val="24"/>
        </w:rPr>
        <w:t>）突发环境事件</w:t>
      </w:r>
      <w:r>
        <w:rPr>
          <w:sz w:val="24"/>
        </w:rPr>
        <w:tab/>
      </w:r>
      <w:r>
        <w:rPr>
          <w:sz w:val="24"/>
        </w:rPr>
        <w:fldChar w:fldCharType="begin"/>
      </w:r>
      <w:r>
        <w:rPr>
          <w:sz w:val="24"/>
        </w:rPr>
        <w:instrText xml:space="preserve"> PAGEREF _Toc28558 </w:instrText>
      </w:r>
      <w:r>
        <w:rPr>
          <w:sz w:val="24"/>
        </w:rPr>
        <w:fldChar w:fldCharType="separate"/>
      </w:r>
      <w:r>
        <w:rPr>
          <w:sz w:val="24"/>
        </w:rPr>
        <w:t>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"_Toc13513" </w:instrText>
      </w:r>
      <w:r>
        <w:fldChar w:fldCharType="separate"/>
      </w:r>
      <w:r>
        <w:rPr>
          <w:rFonts w:hint="eastAsia" w:ascii="仿宋_GB2312" w:hAnsi="华文细黑" w:eastAsia="仿宋_GB2312"/>
          <w:sz w:val="24"/>
        </w:rPr>
        <w:t>1.4.2较大（Ⅱ级）</w:t>
      </w:r>
      <w:r>
        <w:rPr>
          <w:rFonts w:ascii="仿宋_GB2312" w:hAnsi="华文细黑" w:eastAsia="仿宋_GB2312"/>
          <w:sz w:val="24"/>
        </w:rPr>
        <w:t>突发环境事件</w:t>
      </w:r>
      <w:r>
        <w:rPr>
          <w:sz w:val="24"/>
        </w:rPr>
        <w:tab/>
      </w:r>
      <w:r>
        <w:rPr>
          <w:sz w:val="24"/>
        </w:rPr>
        <w:fldChar w:fldCharType="begin"/>
      </w:r>
      <w:r>
        <w:rPr>
          <w:sz w:val="24"/>
        </w:rPr>
        <w:instrText xml:space="preserve"> PAGEREF _Toc13513 </w:instrText>
      </w:r>
      <w:r>
        <w:rPr>
          <w:sz w:val="24"/>
        </w:rPr>
        <w:fldChar w:fldCharType="separate"/>
      </w:r>
      <w:r>
        <w:rPr>
          <w:sz w:val="24"/>
        </w:rPr>
        <w:t>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"_Toc23880" </w:instrText>
      </w:r>
      <w:r>
        <w:fldChar w:fldCharType="separate"/>
      </w:r>
      <w:r>
        <w:rPr>
          <w:rFonts w:hint="eastAsia" w:ascii="仿宋_GB2312" w:hAnsi="华文细黑" w:eastAsia="仿宋_GB2312"/>
          <w:sz w:val="24"/>
        </w:rPr>
        <w:t>1.4.3一般（Ⅲ级）</w:t>
      </w:r>
      <w:r>
        <w:rPr>
          <w:rFonts w:ascii="仿宋_GB2312" w:hAnsi="华文细黑" w:eastAsia="仿宋_GB2312"/>
          <w:sz w:val="24"/>
        </w:rPr>
        <w:t>突发环境事件</w:t>
      </w:r>
      <w:r>
        <w:rPr>
          <w:sz w:val="24"/>
        </w:rPr>
        <w:tab/>
      </w:r>
      <w:r>
        <w:rPr>
          <w:sz w:val="24"/>
        </w:rPr>
        <w:fldChar w:fldCharType="begin"/>
      </w:r>
      <w:r>
        <w:rPr>
          <w:sz w:val="24"/>
        </w:rPr>
        <w:instrText xml:space="preserve"> PAGEREF _Toc23880 </w:instrText>
      </w:r>
      <w:r>
        <w:rPr>
          <w:sz w:val="24"/>
        </w:rPr>
        <w:fldChar w:fldCharType="separate"/>
      </w:r>
      <w:r>
        <w:rPr>
          <w:sz w:val="24"/>
        </w:rPr>
        <w:t>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"_Toc2472" </w:instrText>
      </w:r>
      <w:r>
        <w:fldChar w:fldCharType="separate"/>
      </w:r>
      <w:r>
        <w:rPr>
          <w:rFonts w:hint="eastAsia" w:ascii="仿宋_GB2312" w:hAnsi="华文细黑" w:eastAsia="仿宋_GB2312"/>
          <w:sz w:val="24"/>
        </w:rPr>
        <w:t>1.5 应急预案体系</w:t>
      </w:r>
      <w:r>
        <w:rPr>
          <w:sz w:val="24"/>
        </w:rPr>
        <w:tab/>
      </w:r>
      <w:r>
        <w:rPr>
          <w:sz w:val="24"/>
        </w:rPr>
        <w:fldChar w:fldCharType="begin"/>
      </w:r>
      <w:r>
        <w:rPr>
          <w:sz w:val="24"/>
        </w:rPr>
        <w:instrText xml:space="preserve"> PAGEREF _Toc2472 </w:instrText>
      </w:r>
      <w:r>
        <w:rPr>
          <w:sz w:val="24"/>
        </w:rPr>
        <w:fldChar w:fldCharType="separate"/>
      </w:r>
      <w:r>
        <w:rPr>
          <w:sz w:val="24"/>
        </w:rPr>
        <w:t>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"_Toc10144" </w:instrText>
      </w:r>
      <w:r>
        <w:fldChar w:fldCharType="separate"/>
      </w:r>
      <w:r>
        <w:rPr>
          <w:rFonts w:hint="eastAsia" w:ascii="仿宋_GB2312" w:hAnsi="华文细黑" w:eastAsia="仿宋_GB2312"/>
          <w:sz w:val="24"/>
        </w:rPr>
        <w:t>1.6 工作原则</w:t>
      </w:r>
      <w:r>
        <w:rPr>
          <w:sz w:val="24"/>
        </w:rPr>
        <w:tab/>
      </w:r>
      <w:r>
        <w:rPr>
          <w:sz w:val="24"/>
        </w:rPr>
        <w:fldChar w:fldCharType="begin"/>
      </w:r>
      <w:r>
        <w:rPr>
          <w:sz w:val="24"/>
        </w:rPr>
        <w:instrText xml:space="preserve"> PAGEREF _Toc10144 </w:instrText>
      </w:r>
      <w:r>
        <w:rPr>
          <w:sz w:val="24"/>
        </w:rPr>
        <w:fldChar w:fldCharType="separate"/>
      </w:r>
      <w:r>
        <w:rPr>
          <w:sz w:val="24"/>
        </w:rPr>
        <w:t>9</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"_Toc26210" </w:instrText>
      </w:r>
      <w:r>
        <w:fldChar w:fldCharType="separate"/>
      </w:r>
      <w:r>
        <w:rPr>
          <w:rFonts w:hint="eastAsia"/>
          <w:sz w:val="24"/>
          <w:szCs w:val="24"/>
        </w:rPr>
        <w:t>2 企业基本情况</w:t>
      </w:r>
      <w:r>
        <w:rPr>
          <w:sz w:val="24"/>
          <w:szCs w:val="24"/>
        </w:rPr>
        <w:tab/>
      </w:r>
      <w:r>
        <w:rPr>
          <w:sz w:val="24"/>
          <w:szCs w:val="24"/>
        </w:rPr>
        <w:fldChar w:fldCharType="begin"/>
      </w:r>
      <w:r>
        <w:rPr>
          <w:sz w:val="24"/>
          <w:szCs w:val="24"/>
        </w:rPr>
        <w:instrText xml:space="preserve"> PAGEREF _Toc26210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"_Toc6737" </w:instrText>
      </w:r>
      <w:r>
        <w:fldChar w:fldCharType="separate"/>
      </w:r>
      <w:r>
        <w:rPr>
          <w:rFonts w:hint="eastAsia" w:ascii="仿宋_GB2312" w:hAnsi="华文细黑" w:eastAsia="仿宋_GB2312"/>
          <w:sz w:val="24"/>
        </w:rPr>
        <w:t>2.1企业概况</w:t>
      </w:r>
      <w:r>
        <w:rPr>
          <w:sz w:val="24"/>
        </w:rPr>
        <w:tab/>
      </w:r>
      <w:r>
        <w:rPr>
          <w:sz w:val="24"/>
        </w:rPr>
        <w:fldChar w:fldCharType="begin"/>
      </w:r>
      <w:r>
        <w:rPr>
          <w:sz w:val="24"/>
        </w:rPr>
        <w:instrText xml:space="preserve"> PAGEREF _Toc6737 </w:instrText>
      </w:r>
      <w:r>
        <w:rPr>
          <w:sz w:val="24"/>
        </w:rPr>
        <w:fldChar w:fldCharType="separate"/>
      </w:r>
      <w:r>
        <w:rPr>
          <w:sz w:val="24"/>
        </w:rPr>
        <w:t>10</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"_Toc16209" </w:instrText>
      </w:r>
      <w:r>
        <w:fldChar w:fldCharType="separate"/>
      </w:r>
      <w:r>
        <w:rPr>
          <w:rFonts w:hint="eastAsia" w:ascii="仿宋_GB2312" w:hAnsi="华文细黑" w:eastAsia="仿宋_GB2312"/>
          <w:sz w:val="24"/>
        </w:rPr>
        <w:t>2.2环境风险源基本情况</w:t>
      </w:r>
      <w:r>
        <w:rPr>
          <w:sz w:val="24"/>
        </w:rPr>
        <w:tab/>
      </w:r>
      <w:r>
        <w:rPr>
          <w:sz w:val="24"/>
        </w:rPr>
        <w:fldChar w:fldCharType="begin"/>
      </w:r>
      <w:r>
        <w:rPr>
          <w:sz w:val="24"/>
        </w:rPr>
        <w:instrText xml:space="preserve"> PAGEREF _Toc16209 </w:instrText>
      </w:r>
      <w:r>
        <w:rPr>
          <w:sz w:val="24"/>
        </w:rPr>
        <w:fldChar w:fldCharType="separate"/>
      </w:r>
      <w:r>
        <w:rPr>
          <w:sz w:val="24"/>
        </w:rPr>
        <w:t>12</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"_Toc6548" </w:instrText>
      </w:r>
      <w:r>
        <w:fldChar w:fldCharType="separate"/>
      </w:r>
      <w:r>
        <w:rPr>
          <w:rFonts w:hint="eastAsia" w:ascii="仿宋_GB2312" w:hAnsi="华文细黑" w:eastAsia="仿宋_GB2312"/>
          <w:sz w:val="24"/>
        </w:rPr>
        <w:t>2.2.1生产原辅料及产品情况</w:t>
      </w:r>
      <w:r>
        <w:rPr>
          <w:sz w:val="24"/>
        </w:rPr>
        <w:tab/>
      </w:r>
      <w:r>
        <w:rPr>
          <w:sz w:val="24"/>
        </w:rPr>
        <w:fldChar w:fldCharType="begin"/>
      </w:r>
      <w:r>
        <w:rPr>
          <w:sz w:val="24"/>
        </w:rPr>
        <w:instrText xml:space="preserve"> PAGEREF _Toc6548 </w:instrText>
      </w:r>
      <w:r>
        <w:rPr>
          <w:sz w:val="24"/>
        </w:rPr>
        <w:fldChar w:fldCharType="separate"/>
      </w:r>
      <w:r>
        <w:rPr>
          <w:sz w:val="24"/>
        </w:rPr>
        <w:t>12</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"_Toc19445" </w:instrText>
      </w:r>
      <w:r>
        <w:fldChar w:fldCharType="separate"/>
      </w:r>
      <w:r>
        <w:rPr>
          <w:rFonts w:hint="eastAsia" w:ascii="仿宋_GB2312" w:hAnsi="华文细黑" w:eastAsia="仿宋_GB2312"/>
          <w:sz w:val="24"/>
        </w:rPr>
        <w:t>2.2.2生产工艺及流程</w:t>
      </w:r>
      <w:r>
        <w:rPr>
          <w:sz w:val="24"/>
        </w:rPr>
        <w:tab/>
      </w:r>
      <w:r>
        <w:rPr>
          <w:sz w:val="24"/>
        </w:rPr>
        <w:fldChar w:fldCharType="begin"/>
      </w:r>
      <w:r>
        <w:rPr>
          <w:sz w:val="24"/>
        </w:rPr>
        <w:instrText xml:space="preserve"> PAGEREF _Toc19445 </w:instrText>
      </w:r>
      <w:r>
        <w:rPr>
          <w:sz w:val="24"/>
        </w:rPr>
        <w:fldChar w:fldCharType="separate"/>
      </w:r>
      <w:r>
        <w:rPr>
          <w:sz w:val="24"/>
        </w:rPr>
        <w:t>13</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"_Toc23174" </w:instrText>
      </w:r>
      <w:r>
        <w:fldChar w:fldCharType="separate"/>
      </w:r>
      <w:r>
        <w:rPr>
          <w:rFonts w:hint="eastAsia" w:ascii="仿宋_GB2312" w:hAnsi="华文细黑" w:eastAsia="仿宋_GB2312"/>
          <w:sz w:val="24"/>
        </w:rPr>
        <w:t>2.2.3生产装置、设备</w:t>
      </w:r>
      <w:r>
        <w:rPr>
          <w:sz w:val="24"/>
        </w:rPr>
        <w:tab/>
      </w:r>
      <w:r>
        <w:rPr>
          <w:sz w:val="24"/>
        </w:rPr>
        <w:fldChar w:fldCharType="begin"/>
      </w:r>
      <w:r>
        <w:rPr>
          <w:sz w:val="24"/>
        </w:rPr>
        <w:instrText xml:space="preserve"> PAGEREF _Toc23174 </w:instrText>
      </w:r>
      <w:r>
        <w:rPr>
          <w:sz w:val="24"/>
        </w:rPr>
        <w:fldChar w:fldCharType="separate"/>
      </w:r>
      <w:r>
        <w:rPr>
          <w:sz w:val="24"/>
        </w:rPr>
        <w:t>24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"_Toc16929" </w:instrText>
      </w:r>
      <w:r>
        <w:fldChar w:fldCharType="separate"/>
      </w:r>
      <w:r>
        <w:rPr>
          <w:rFonts w:hint="eastAsia" w:ascii="仿宋_GB2312" w:hAnsi="华文细黑" w:eastAsia="仿宋_GB2312"/>
          <w:sz w:val="24"/>
        </w:rPr>
        <w:t>2.2.4污染防治情况</w:t>
      </w:r>
      <w:r>
        <w:rPr>
          <w:sz w:val="24"/>
        </w:rPr>
        <w:tab/>
      </w:r>
      <w:r>
        <w:rPr>
          <w:sz w:val="24"/>
        </w:rPr>
        <w:fldChar w:fldCharType="begin"/>
      </w:r>
      <w:r>
        <w:rPr>
          <w:sz w:val="24"/>
        </w:rPr>
        <w:instrText xml:space="preserve"> PAGEREF _Toc16929 </w:instrText>
      </w:r>
      <w:r>
        <w:rPr>
          <w:sz w:val="24"/>
        </w:rPr>
        <w:fldChar w:fldCharType="separate"/>
      </w:r>
      <w:r>
        <w:rPr>
          <w:sz w:val="24"/>
        </w:rPr>
        <w:t>26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"_Toc1050" </w:instrText>
      </w:r>
      <w:r>
        <w:fldChar w:fldCharType="separate"/>
      </w:r>
      <w:r>
        <w:rPr>
          <w:rFonts w:hint="eastAsia" w:ascii="仿宋_GB2312" w:hAnsi="华文细黑" w:eastAsia="仿宋_GB2312"/>
          <w:sz w:val="24"/>
        </w:rPr>
        <w:t>2.2.4.1污染物产生情况</w:t>
      </w:r>
      <w:r>
        <w:rPr>
          <w:sz w:val="24"/>
        </w:rPr>
        <w:tab/>
      </w:r>
      <w:r>
        <w:rPr>
          <w:sz w:val="24"/>
        </w:rPr>
        <w:fldChar w:fldCharType="begin"/>
      </w:r>
      <w:r>
        <w:rPr>
          <w:sz w:val="24"/>
        </w:rPr>
        <w:instrText xml:space="preserve"> PAGEREF _Toc1050 </w:instrText>
      </w:r>
      <w:r>
        <w:rPr>
          <w:sz w:val="24"/>
        </w:rPr>
        <w:fldChar w:fldCharType="separate"/>
      </w:r>
      <w:r>
        <w:rPr>
          <w:sz w:val="24"/>
        </w:rPr>
        <w:t>26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"_Toc31684" </w:instrText>
      </w:r>
      <w:r>
        <w:fldChar w:fldCharType="separate"/>
      </w:r>
      <w:r>
        <w:rPr>
          <w:rFonts w:hint="eastAsia" w:ascii="仿宋_GB2312" w:hAnsi="华文细黑" w:eastAsia="仿宋_GB2312"/>
          <w:sz w:val="24"/>
        </w:rPr>
        <w:t>2.2.4.2污染物治理及排放情况</w:t>
      </w:r>
      <w:r>
        <w:rPr>
          <w:sz w:val="24"/>
        </w:rPr>
        <w:tab/>
      </w:r>
      <w:r>
        <w:rPr>
          <w:sz w:val="24"/>
        </w:rPr>
        <w:fldChar w:fldCharType="begin"/>
      </w:r>
      <w:r>
        <w:rPr>
          <w:sz w:val="24"/>
        </w:rPr>
        <w:instrText xml:space="preserve"> PAGEREF _Toc31684 </w:instrText>
      </w:r>
      <w:r>
        <w:rPr>
          <w:sz w:val="24"/>
        </w:rPr>
        <w:fldChar w:fldCharType="separate"/>
      </w:r>
      <w:r>
        <w:rPr>
          <w:sz w:val="24"/>
        </w:rPr>
        <w:t>28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"_Toc9274" </w:instrText>
      </w:r>
      <w:r>
        <w:fldChar w:fldCharType="separate"/>
      </w:r>
      <w:r>
        <w:rPr>
          <w:rFonts w:hint="eastAsia" w:ascii="仿宋" w:hAnsi="仿宋" w:eastAsia="仿宋" w:cs="仿宋"/>
          <w:bCs/>
          <w:sz w:val="24"/>
        </w:rPr>
        <w:t>2.3周边环境状况及环境保护目标</w:t>
      </w:r>
      <w:r>
        <w:rPr>
          <w:sz w:val="24"/>
        </w:rPr>
        <w:tab/>
      </w:r>
      <w:r>
        <w:rPr>
          <w:sz w:val="24"/>
        </w:rPr>
        <w:fldChar w:fldCharType="begin"/>
      </w:r>
      <w:r>
        <w:rPr>
          <w:sz w:val="24"/>
        </w:rPr>
        <w:instrText xml:space="preserve"> PAGEREF _Toc9274 </w:instrText>
      </w:r>
      <w:r>
        <w:rPr>
          <w:sz w:val="24"/>
        </w:rPr>
        <w:fldChar w:fldCharType="separate"/>
      </w:r>
      <w:r>
        <w:rPr>
          <w:sz w:val="24"/>
        </w:rPr>
        <w:t>29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"_Toc25582" </w:instrText>
      </w:r>
      <w:r>
        <w:fldChar w:fldCharType="separate"/>
      </w:r>
      <w:r>
        <w:rPr>
          <w:rFonts w:hint="eastAsia" w:ascii="仿宋_GB2312" w:hAnsi="华文细黑" w:eastAsia="仿宋_GB2312"/>
          <w:sz w:val="24"/>
        </w:rPr>
        <w:t>2.3.1周边环境状况</w:t>
      </w:r>
      <w:r>
        <w:rPr>
          <w:sz w:val="24"/>
        </w:rPr>
        <w:tab/>
      </w:r>
      <w:r>
        <w:rPr>
          <w:sz w:val="24"/>
        </w:rPr>
        <w:fldChar w:fldCharType="begin"/>
      </w:r>
      <w:r>
        <w:rPr>
          <w:sz w:val="24"/>
        </w:rPr>
        <w:instrText xml:space="preserve"> PAGEREF _Toc25582 </w:instrText>
      </w:r>
      <w:r>
        <w:rPr>
          <w:sz w:val="24"/>
        </w:rPr>
        <w:fldChar w:fldCharType="separate"/>
      </w:r>
      <w:r>
        <w:rPr>
          <w:sz w:val="24"/>
        </w:rPr>
        <w:t>29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"_Toc829" </w:instrText>
      </w:r>
      <w:r>
        <w:fldChar w:fldCharType="separate"/>
      </w:r>
      <w:r>
        <w:rPr>
          <w:rFonts w:hint="eastAsia" w:ascii="仿宋_GB2312" w:hAnsi="华文细黑" w:eastAsia="仿宋_GB2312"/>
          <w:sz w:val="24"/>
        </w:rPr>
        <w:t>2.3.2环境敏感目标</w:t>
      </w:r>
      <w:r>
        <w:rPr>
          <w:sz w:val="24"/>
        </w:rPr>
        <w:tab/>
      </w:r>
      <w:r>
        <w:rPr>
          <w:sz w:val="24"/>
        </w:rPr>
        <w:fldChar w:fldCharType="begin"/>
      </w:r>
      <w:r>
        <w:rPr>
          <w:sz w:val="24"/>
        </w:rPr>
        <w:instrText xml:space="preserve"> PAGEREF _Toc829 </w:instrText>
      </w:r>
      <w:r>
        <w:rPr>
          <w:sz w:val="24"/>
        </w:rPr>
        <w:fldChar w:fldCharType="separate"/>
      </w:r>
      <w:r>
        <w:rPr>
          <w:sz w:val="24"/>
        </w:rPr>
        <w:t>30</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"_Toc11516" </w:instrText>
      </w:r>
      <w:r>
        <w:fldChar w:fldCharType="separate"/>
      </w:r>
      <w:r>
        <w:rPr>
          <w:rFonts w:hint="eastAsia"/>
          <w:sz w:val="24"/>
          <w:szCs w:val="24"/>
        </w:rPr>
        <w:t>3 环境风险源与环境风险分析</w:t>
      </w:r>
      <w:r>
        <w:rPr>
          <w:sz w:val="24"/>
          <w:szCs w:val="24"/>
        </w:rPr>
        <w:tab/>
      </w:r>
      <w:r>
        <w:rPr>
          <w:sz w:val="24"/>
          <w:szCs w:val="24"/>
        </w:rPr>
        <w:fldChar w:fldCharType="begin"/>
      </w:r>
      <w:r>
        <w:rPr>
          <w:sz w:val="24"/>
          <w:szCs w:val="24"/>
        </w:rPr>
        <w:instrText xml:space="preserve"> PAGEREF _Toc11516 </w:instrText>
      </w:r>
      <w:r>
        <w:rPr>
          <w:sz w:val="24"/>
          <w:szCs w:val="24"/>
        </w:rPr>
        <w:fldChar w:fldCharType="separate"/>
      </w:r>
      <w:r>
        <w:rPr>
          <w:sz w:val="24"/>
          <w:szCs w:val="24"/>
        </w:rPr>
        <w:t>33</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"_Toc28651" </w:instrText>
      </w:r>
      <w:r>
        <w:fldChar w:fldCharType="separate"/>
      </w:r>
      <w:r>
        <w:rPr>
          <w:rFonts w:hint="eastAsia" w:ascii="仿宋_GB2312" w:hAnsi="华文细黑" w:eastAsia="仿宋_GB2312"/>
          <w:sz w:val="24"/>
        </w:rPr>
        <w:t>3.1环境风险源的识别</w:t>
      </w:r>
      <w:r>
        <w:rPr>
          <w:sz w:val="24"/>
        </w:rPr>
        <w:tab/>
      </w:r>
      <w:r>
        <w:rPr>
          <w:sz w:val="24"/>
        </w:rPr>
        <w:fldChar w:fldCharType="begin"/>
      </w:r>
      <w:r>
        <w:rPr>
          <w:sz w:val="24"/>
        </w:rPr>
        <w:instrText xml:space="preserve"> PAGEREF _Toc28651 </w:instrText>
      </w:r>
      <w:r>
        <w:rPr>
          <w:sz w:val="24"/>
        </w:rPr>
        <w:fldChar w:fldCharType="separate"/>
      </w:r>
      <w:r>
        <w:rPr>
          <w:sz w:val="24"/>
        </w:rPr>
        <w:t>33</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"_Toc8459" </w:instrText>
      </w:r>
      <w:r>
        <w:fldChar w:fldCharType="separate"/>
      </w:r>
      <w:r>
        <w:rPr>
          <w:rFonts w:hint="eastAsia" w:ascii="仿宋_GB2312" w:hAnsi="华文细黑" w:eastAsia="仿宋_GB2312"/>
          <w:sz w:val="24"/>
        </w:rPr>
        <w:t>3.2环境风险分析</w:t>
      </w:r>
      <w:r>
        <w:rPr>
          <w:sz w:val="24"/>
        </w:rPr>
        <w:tab/>
      </w:r>
      <w:r>
        <w:rPr>
          <w:sz w:val="24"/>
        </w:rPr>
        <w:fldChar w:fldCharType="begin"/>
      </w:r>
      <w:r>
        <w:rPr>
          <w:sz w:val="24"/>
        </w:rPr>
        <w:instrText xml:space="preserve"> PAGEREF _Toc8459 </w:instrText>
      </w:r>
      <w:r>
        <w:rPr>
          <w:sz w:val="24"/>
        </w:rPr>
        <w:fldChar w:fldCharType="separate"/>
      </w:r>
      <w:r>
        <w:rPr>
          <w:sz w:val="24"/>
        </w:rPr>
        <w:t>34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"_Toc12438" </w:instrText>
      </w:r>
      <w:r>
        <w:fldChar w:fldCharType="separate"/>
      </w:r>
      <w:r>
        <w:rPr>
          <w:rFonts w:hint="eastAsia" w:ascii="仿宋_GB2312" w:hAnsi="华文细黑" w:eastAsia="仿宋_GB2312"/>
          <w:sz w:val="24"/>
        </w:rPr>
        <w:t>3.2.1危化品储存、输送风险分析</w:t>
      </w:r>
      <w:r>
        <w:rPr>
          <w:sz w:val="24"/>
        </w:rPr>
        <w:tab/>
      </w:r>
      <w:r>
        <w:rPr>
          <w:sz w:val="24"/>
        </w:rPr>
        <w:fldChar w:fldCharType="begin"/>
      </w:r>
      <w:r>
        <w:rPr>
          <w:sz w:val="24"/>
        </w:rPr>
        <w:instrText xml:space="preserve"> PAGEREF _Toc12438 </w:instrText>
      </w:r>
      <w:r>
        <w:rPr>
          <w:sz w:val="24"/>
        </w:rPr>
        <w:fldChar w:fldCharType="separate"/>
      </w:r>
      <w:r>
        <w:rPr>
          <w:sz w:val="24"/>
        </w:rPr>
        <w:t>34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"_Toc10020" </w:instrText>
      </w:r>
      <w:r>
        <w:fldChar w:fldCharType="separate"/>
      </w:r>
      <w:r>
        <w:rPr>
          <w:rFonts w:hint="eastAsia" w:ascii="仿宋_GB2312" w:hAnsi="华文细黑" w:eastAsia="仿宋_GB2312" w:cs="Arial"/>
          <w:kern w:val="0"/>
          <w:sz w:val="24"/>
        </w:rPr>
        <w:t>3.2.2生产过程风险分析</w:t>
      </w:r>
      <w:r>
        <w:rPr>
          <w:sz w:val="24"/>
        </w:rPr>
        <w:tab/>
      </w:r>
      <w:r>
        <w:rPr>
          <w:sz w:val="24"/>
        </w:rPr>
        <w:fldChar w:fldCharType="begin"/>
      </w:r>
      <w:r>
        <w:rPr>
          <w:sz w:val="24"/>
        </w:rPr>
        <w:instrText xml:space="preserve"> PAGEREF _Toc10020 </w:instrText>
      </w:r>
      <w:r>
        <w:rPr>
          <w:sz w:val="24"/>
        </w:rPr>
        <w:fldChar w:fldCharType="separate"/>
      </w:r>
      <w:r>
        <w:rPr>
          <w:sz w:val="24"/>
        </w:rPr>
        <w:t>35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"_Toc27161" </w:instrText>
      </w:r>
      <w:r>
        <w:fldChar w:fldCharType="separate"/>
      </w:r>
      <w:r>
        <w:rPr>
          <w:rFonts w:hint="eastAsia" w:ascii="仿宋_GB2312" w:hAnsi="华文细黑" w:eastAsia="仿宋_GB2312"/>
          <w:sz w:val="24"/>
        </w:rPr>
        <w:t>3.2.3废水处理设施风险分析</w:t>
      </w:r>
      <w:r>
        <w:rPr>
          <w:sz w:val="24"/>
        </w:rPr>
        <w:tab/>
      </w:r>
      <w:r>
        <w:rPr>
          <w:sz w:val="24"/>
        </w:rPr>
        <w:fldChar w:fldCharType="begin"/>
      </w:r>
      <w:r>
        <w:rPr>
          <w:sz w:val="24"/>
        </w:rPr>
        <w:instrText xml:space="preserve"> PAGEREF _Toc27161 </w:instrText>
      </w:r>
      <w:r>
        <w:rPr>
          <w:sz w:val="24"/>
        </w:rPr>
        <w:fldChar w:fldCharType="separate"/>
      </w:r>
      <w:r>
        <w:rPr>
          <w:sz w:val="24"/>
        </w:rPr>
        <w:t>35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"_Toc10953" </w:instrText>
      </w:r>
      <w:r>
        <w:fldChar w:fldCharType="separate"/>
      </w:r>
      <w:r>
        <w:rPr>
          <w:rFonts w:hint="eastAsia" w:ascii="仿宋_GB2312" w:hAnsi="华文细黑" w:eastAsia="仿宋_GB2312"/>
          <w:sz w:val="24"/>
        </w:rPr>
        <w:t>3.2.4废气处理设施风险分析</w:t>
      </w:r>
      <w:r>
        <w:rPr>
          <w:sz w:val="24"/>
        </w:rPr>
        <w:tab/>
      </w:r>
      <w:r>
        <w:rPr>
          <w:sz w:val="24"/>
        </w:rPr>
        <w:fldChar w:fldCharType="begin"/>
      </w:r>
      <w:r>
        <w:rPr>
          <w:sz w:val="24"/>
        </w:rPr>
        <w:instrText xml:space="preserve"> PAGEREF _Toc10953 </w:instrText>
      </w:r>
      <w:r>
        <w:rPr>
          <w:sz w:val="24"/>
        </w:rPr>
        <w:fldChar w:fldCharType="separate"/>
      </w:r>
      <w:r>
        <w:rPr>
          <w:sz w:val="24"/>
        </w:rPr>
        <w:t>35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"_Toc5055" </w:instrText>
      </w:r>
      <w:r>
        <w:fldChar w:fldCharType="separate"/>
      </w:r>
      <w:r>
        <w:rPr>
          <w:rFonts w:hint="eastAsia" w:ascii="仿宋_GB2312" w:hAnsi="华文细黑" w:eastAsia="仿宋_GB2312"/>
          <w:sz w:val="24"/>
        </w:rPr>
        <w:t>3.2.5危险废物暂存、处置风险分析</w:t>
      </w:r>
      <w:r>
        <w:rPr>
          <w:sz w:val="24"/>
        </w:rPr>
        <w:tab/>
      </w:r>
      <w:r>
        <w:rPr>
          <w:sz w:val="24"/>
        </w:rPr>
        <w:fldChar w:fldCharType="begin"/>
      </w:r>
      <w:r>
        <w:rPr>
          <w:sz w:val="24"/>
        </w:rPr>
        <w:instrText xml:space="preserve"> PAGEREF _Toc5055 </w:instrText>
      </w:r>
      <w:r>
        <w:rPr>
          <w:sz w:val="24"/>
        </w:rPr>
        <w:fldChar w:fldCharType="separate"/>
      </w:r>
      <w:r>
        <w:rPr>
          <w:sz w:val="24"/>
        </w:rPr>
        <w:t>35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"_Toc16571" </w:instrText>
      </w:r>
      <w:r>
        <w:fldChar w:fldCharType="separate"/>
      </w:r>
      <w:r>
        <w:rPr>
          <w:rFonts w:hint="eastAsia" w:ascii="仿宋_GB2312" w:hAnsi="华文细黑" w:eastAsia="仿宋_GB2312"/>
          <w:sz w:val="24"/>
        </w:rPr>
        <w:t>3.2.6其他风险分析</w:t>
      </w:r>
      <w:r>
        <w:rPr>
          <w:sz w:val="24"/>
        </w:rPr>
        <w:tab/>
      </w:r>
      <w:r>
        <w:rPr>
          <w:sz w:val="24"/>
        </w:rPr>
        <w:fldChar w:fldCharType="begin"/>
      </w:r>
      <w:r>
        <w:rPr>
          <w:sz w:val="24"/>
        </w:rPr>
        <w:instrText xml:space="preserve"> PAGEREF _Toc16571 </w:instrText>
      </w:r>
      <w:r>
        <w:rPr>
          <w:sz w:val="24"/>
        </w:rPr>
        <w:fldChar w:fldCharType="separate"/>
      </w:r>
      <w:r>
        <w:rPr>
          <w:sz w:val="24"/>
        </w:rPr>
        <w:t>35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"_Toc1880" </w:instrText>
      </w:r>
      <w:r>
        <w:fldChar w:fldCharType="separate"/>
      </w:r>
      <w:r>
        <w:rPr>
          <w:rFonts w:hint="eastAsia" w:ascii="仿宋" w:hAnsi="仿宋" w:eastAsia="仿宋" w:cs="仿宋"/>
          <w:bCs/>
          <w:sz w:val="24"/>
        </w:rPr>
        <w:t>3.2.7次生/衍生环境风险分析</w:t>
      </w:r>
      <w:r>
        <w:rPr>
          <w:sz w:val="24"/>
        </w:rPr>
        <w:tab/>
      </w:r>
      <w:r>
        <w:rPr>
          <w:sz w:val="24"/>
        </w:rPr>
        <w:fldChar w:fldCharType="begin"/>
      </w:r>
      <w:r>
        <w:rPr>
          <w:sz w:val="24"/>
        </w:rPr>
        <w:instrText xml:space="preserve"> PAGEREF _Toc1880 </w:instrText>
      </w:r>
      <w:r>
        <w:rPr>
          <w:sz w:val="24"/>
        </w:rPr>
        <w:fldChar w:fldCharType="separate"/>
      </w:r>
      <w:r>
        <w:rPr>
          <w:sz w:val="24"/>
        </w:rPr>
        <w:t>36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"_Toc31549" </w:instrText>
      </w:r>
      <w:r>
        <w:fldChar w:fldCharType="separate"/>
      </w:r>
      <w:r>
        <w:rPr>
          <w:rFonts w:hint="eastAsia" w:ascii="仿宋_GB2312" w:hAnsi="华文细黑" w:eastAsia="仿宋_GB2312"/>
          <w:sz w:val="24"/>
        </w:rPr>
        <w:t>4.1组织体系</w:t>
      </w:r>
      <w:r>
        <w:rPr>
          <w:sz w:val="24"/>
        </w:rPr>
        <w:tab/>
      </w:r>
      <w:r>
        <w:rPr>
          <w:sz w:val="24"/>
        </w:rPr>
        <w:fldChar w:fldCharType="begin"/>
      </w:r>
      <w:r>
        <w:rPr>
          <w:sz w:val="24"/>
        </w:rPr>
        <w:instrText xml:space="preserve"> PAGEREF _Toc31549 </w:instrText>
      </w:r>
      <w:r>
        <w:rPr>
          <w:sz w:val="24"/>
        </w:rPr>
        <w:fldChar w:fldCharType="separate"/>
      </w:r>
      <w:r>
        <w:rPr>
          <w:sz w:val="24"/>
        </w:rPr>
        <w:t>37</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"_Toc30475" </w:instrText>
      </w:r>
      <w:r>
        <w:fldChar w:fldCharType="separate"/>
      </w:r>
      <w:r>
        <w:rPr>
          <w:rFonts w:hint="eastAsia" w:ascii="仿宋_GB2312" w:hAnsi="华文细黑" w:eastAsia="仿宋_GB2312"/>
          <w:sz w:val="24"/>
        </w:rPr>
        <w:t>4.2指挥机构组成及职责</w:t>
      </w:r>
      <w:r>
        <w:rPr>
          <w:sz w:val="24"/>
        </w:rPr>
        <w:tab/>
      </w:r>
      <w:r>
        <w:rPr>
          <w:sz w:val="24"/>
        </w:rPr>
        <w:fldChar w:fldCharType="begin"/>
      </w:r>
      <w:r>
        <w:rPr>
          <w:sz w:val="24"/>
        </w:rPr>
        <w:instrText xml:space="preserve"> PAGEREF _Toc30475 </w:instrText>
      </w:r>
      <w:r>
        <w:rPr>
          <w:sz w:val="24"/>
        </w:rPr>
        <w:fldChar w:fldCharType="separate"/>
      </w:r>
      <w:r>
        <w:rPr>
          <w:sz w:val="24"/>
        </w:rPr>
        <w:t>37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"_Toc12573" </w:instrText>
      </w:r>
      <w:r>
        <w:fldChar w:fldCharType="separate"/>
      </w:r>
      <w:r>
        <w:rPr>
          <w:rFonts w:hint="eastAsia" w:ascii="仿宋_GB2312" w:hAnsi="华文细黑" w:eastAsia="仿宋_GB2312"/>
          <w:sz w:val="24"/>
        </w:rPr>
        <w:t>4.2.1指挥机构组成</w:t>
      </w:r>
      <w:r>
        <w:rPr>
          <w:sz w:val="24"/>
        </w:rPr>
        <w:tab/>
      </w:r>
      <w:r>
        <w:rPr>
          <w:sz w:val="24"/>
        </w:rPr>
        <w:fldChar w:fldCharType="begin"/>
      </w:r>
      <w:r>
        <w:rPr>
          <w:sz w:val="24"/>
        </w:rPr>
        <w:instrText xml:space="preserve"> PAGEREF _Toc12573 </w:instrText>
      </w:r>
      <w:r>
        <w:rPr>
          <w:sz w:val="24"/>
        </w:rPr>
        <w:fldChar w:fldCharType="separate"/>
      </w:r>
      <w:r>
        <w:rPr>
          <w:sz w:val="24"/>
        </w:rPr>
        <w:t>37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"_Toc7845" </w:instrText>
      </w:r>
      <w:r>
        <w:fldChar w:fldCharType="separate"/>
      </w:r>
      <w:r>
        <w:rPr>
          <w:rFonts w:hint="eastAsia" w:ascii="仿宋_GB2312" w:hAnsi="华文细黑" w:eastAsia="仿宋_GB2312"/>
          <w:sz w:val="24"/>
        </w:rPr>
        <w:t>4.2.1.1指挥机构组成</w:t>
      </w:r>
      <w:r>
        <w:rPr>
          <w:sz w:val="24"/>
        </w:rPr>
        <w:tab/>
      </w:r>
      <w:r>
        <w:rPr>
          <w:sz w:val="24"/>
        </w:rPr>
        <w:fldChar w:fldCharType="begin"/>
      </w:r>
      <w:r>
        <w:rPr>
          <w:sz w:val="24"/>
        </w:rPr>
        <w:instrText xml:space="preserve"> PAGEREF _Toc7845 </w:instrText>
      </w:r>
      <w:r>
        <w:rPr>
          <w:sz w:val="24"/>
        </w:rPr>
        <w:fldChar w:fldCharType="separate"/>
      </w:r>
      <w:r>
        <w:rPr>
          <w:sz w:val="24"/>
        </w:rPr>
        <w:t>38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"_Toc22084" </w:instrText>
      </w:r>
      <w:r>
        <w:fldChar w:fldCharType="separate"/>
      </w:r>
      <w:r>
        <w:rPr>
          <w:rFonts w:hint="eastAsia" w:ascii="仿宋_GB2312" w:hAnsi="华文细黑" w:eastAsia="仿宋_GB2312"/>
          <w:sz w:val="24"/>
        </w:rPr>
        <w:t>4.2.1.2各应急组组成</w:t>
      </w:r>
      <w:r>
        <w:rPr>
          <w:sz w:val="24"/>
        </w:rPr>
        <w:tab/>
      </w:r>
      <w:r>
        <w:rPr>
          <w:sz w:val="24"/>
        </w:rPr>
        <w:fldChar w:fldCharType="begin"/>
      </w:r>
      <w:r>
        <w:rPr>
          <w:sz w:val="24"/>
        </w:rPr>
        <w:instrText xml:space="preserve"> PAGEREF _Toc22084 </w:instrText>
      </w:r>
      <w:r>
        <w:rPr>
          <w:sz w:val="24"/>
        </w:rPr>
        <w:fldChar w:fldCharType="separate"/>
      </w:r>
      <w:r>
        <w:rPr>
          <w:sz w:val="24"/>
        </w:rPr>
        <w:t>38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"_Toc29812" </w:instrText>
      </w:r>
      <w:r>
        <w:fldChar w:fldCharType="separate"/>
      </w:r>
      <w:r>
        <w:rPr>
          <w:rFonts w:hint="eastAsia" w:ascii="仿宋_GB2312" w:hAnsi="华文细黑" w:eastAsia="仿宋_GB2312"/>
          <w:sz w:val="24"/>
        </w:rPr>
        <w:t>4.2.2职责</w:t>
      </w:r>
      <w:r>
        <w:rPr>
          <w:sz w:val="24"/>
        </w:rPr>
        <w:tab/>
      </w:r>
      <w:r>
        <w:rPr>
          <w:sz w:val="24"/>
        </w:rPr>
        <w:fldChar w:fldCharType="begin"/>
      </w:r>
      <w:r>
        <w:rPr>
          <w:sz w:val="24"/>
        </w:rPr>
        <w:instrText xml:space="preserve"> PAGEREF _Toc29812 </w:instrText>
      </w:r>
      <w:r>
        <w:rPr>
          <w:sz w:val="24"/>
        </w:rPr>
        <w:fldChar w:fldCharType="separate"/>
      </w:r>
      <w:r>
        <w:rPr>
          <w:sz w:val="24"/>
        </w:rPr>
        <w:t>38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"_Toc14759" </w:instrText>
      </w:r>
      <w:r>
        <w:fldChar w:fldCharType="separate"/>
      </w:r>
      <w:r>
        <w:rPr>
          <w:rFonts w:hint="eastAsia" w:ascii="仿宋_GB2312" w:hAnsi="华文细黑" w:eastAsia="仿宋_GB2312"/>
          <w:sz w:val="24"/>
        </w:rPr>
        <w:t>4.2.2.1应急指挥机构的职责</w:t>
      </w:r>
      <w:r>
        <w:rPr>
          <w:sz w:val="24"/>
        </w:rPr>
        <w:tab/>
      </w:r>
      <w:r>
        <w:rPr>
          <w:sz w:val="24"/>
        </w:rPr>
        <w:fldChar w:fldCharType="begin"/>
      </w:r>
      <w:r>
        <w:rPr>
          <w:sz w:val="24"/>
        </w:rPr>
        <w:instrText xml:space="preserve"> PAGEREF _Toc14759 </w:instrText>
      </w:r>
      <w:r>
        <w:rPr>
          <w:sz w:val="24"/>
        </w:rPr>
        <w:fldChar w:fldCharType="separate"/>
      </w:r>
      <w:r>
        <w:rPr>
          <w:sz w:val="24"/>
        </w:rPr>
        <w:t>38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"_Toc32246" </w:instrText>
      </w:r>
      <w:r>
        <w:fldChar w:fldCharType="separate"/>
      </w:r>
      <w:r>
        <w:rPr>
          <w:rFonts w:hint="eastAsia" w:ascii="仿宋_GB2312" w:hAnsi="华文细黑" w:eastAsia="仿宋_GB2312"/>
          <w:sz w:val="24"/>
        </w:rPr>
        <w:t>4.2.2.2指挥机构分工及主要职责</w:t>
      </w:r>
      <w:r>
        <w:rPr>
          <w:sz w:val="24"/>
        </w:rPr>
        <w:tab/>
      </w:r>
      <w:r>
        <w:rPr>
          <w:sz w:val="24"/>
        </w:rPr>
        <w:fldChar w:fldCharType="begin"/>
      </w:r>
      <w:r>
        <w:rPr>
          <w:sz w:val="24"/>
        </w:rPr>
        <w:instrText xml:space="preserve"> PAGEREF _Toc32246 </w:instrText>
      </w:r>
      <w:r>
        <w:rPr>
          <w:sz w:val="24"/>
        </w:rPr>
        <w:fldChar w:fldCharType="separate"/>
      </w:r>
      <w:r>
        <w:rPr>
          <w:sz w:val="24"/>
        </w:rPr>
        <w:t>39</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"_Toc23493" </w:instrText>
      </w:r>
      <w:r>
        <w:fldChar w:fldCharType="separate"/>
      </w:r>
      <w:r>
        <w:rPr>
          <w:rFonts w:hint="eastAsia"/>
          <w:sz w:val="24"/>
          <w:szCs w:val="24"/>
        </w:rPr>
        <w:t>5 预防与预警机制</w:t>
      </w:r>
      <w:r>
        <w:rPr>
          <w:sz w:val="24"/>
          <w:szCs w:val="24"/>
        </w:rPr>
        <w:tab/>
      </w:r>
      <w:r>
        <w:rPr>
          <w:sz w:val="24"/>
          <w:szCs w:val="24"/>
        </w:rPr>
        <w:fldChar w:fldCharType="begin"/>
      </w:r>
      <w:r>
        <w:rPr>
          <w:sz w:val="24"/>
          <w:szCs w:val="24"/>
        </w:rPr>
        <w:instrText xml:space="preserve"> PAGEREF _Toc23493 </w:instrText>
      </w:r>
      <w:r>
        <w:rPr>
          <w:sz w:val="24"/>
          <w:szCs w:val="24"/>
        </w:rPr>
        <w:fldChar w:fldCharType="separate"/>
      </w:r>
      <w:r>
        <w:rPr>
          <w:sz w:val="24"/>
          <w:szCs w:val="24"/>
        </w:rPr>
        <w:t>41</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"_Toc20181" </w:instrText>
      </w:r>
      <w:r>
        <w:fldChar w:fldCharType="separate"/>
      </w:r>
      <w:r>
        <w:rPr>
          <w:rFonts w:hint="eastAsia" w:ascii="仿宋_GB2312" w:hAnsi="华文细黑" w:eastAsia="仿宋_GB2312"/>
          <w:sz w:val="24"/>
        </w:rPr>
        <w:t>5.1环境风险源监控</w:t>
      </w:r>
      <w:r>
        <w:rPr>
          <w:sz w:val="24"/>
        </w:rPr>
        <w:tab/>
      </w:r>
      <w:r>
        <w:rPr>
          <w:sz w:val="24"/>
        </w:rPr>
        <w:fldChar w:fldCharType="begin"/>
      </w:r>
      <w:r>
        <w:rPr>
          <w:sz w:val="24"/>
        </w:rPr>
        <w:instrText xml:space="preserve"> PAGEREF _Toc20181 </w:instrText>
      </w:r>
      <w:r>
        <w:rPr>
          <w:sz w:val="24"/>
        </w:rPr>
        <w:fldChar w:fldCharType="separate"/>
      </w:r>
      <w:r>
        <w:rPr>
          <w:sz w:val="24"/>
        </w:rPr>
        <w:t>41</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"_Toc27163" </w:instrText>
      </w:r>
      <w:r>
        <w:fldChar w:fldCharType="separate"/>
      </w:r>
      <w:r>
        <w:rPr>
          <w:rFonts w:hint="eastAsia" w:ascii="仿宋" w:hAnsi="仿宋" w:eastAsia="仿宋" w:cs="仿宋"/>
          <w:bCs/>
          <w:sz w:val="24"/>
        </w:rPr>
        <w:t>5.2环境风险源防范措施</w:t>
      </w:r>
      <w:r>
        <w:rPr>
          <w:sz w:val="24"/>
        </w:rPr>
        <w:tab/>
      </w:r>
      <w:r>
        <w:rPr>
          <w:sz w:val="24"/>
        </w:rPr>
        <w:fldChar w:fldCharType="begin"/>
      </w:r>
      <w:r>
        <w:rPr>
          <w:sz w:val="24"/>
        </w:rPr>
        <w:instrText xml:space="preserve"> PAGEREF _Toc27163 </w:instrText>
      </w:r>
      <w:r>
        <w:rPr>
          <w:sz w:val="24"/>
        </w:rPr>
        <w:fldChar w:fldCharType="separate"/>
      </w:r>
      <w:r>
        <w:rPr>
          <w:sz w:val="24"/>
        </w:rPr>
        <w:t>41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"_Toc11541" </w:instrText>
      </w:r>
      <w:r>
        <w:fldChar w:fldCharType="separate"/>
      </w:r>
      <w:r>
        <w:rPr>
          <w:rFonts w:hint="eastAsia" w:ascii="仿宋" w:hAnsi="仿宋" w:eastAsia="仿宋" w:cs="仿宋"/>
          <w:bCs/>
          <w:sz w:val="24"/>
        </w:rPr>
        <w:t>5.2.1储罐区风险防范措施</w:t>
      </w:r>
      <w:r>
        <w:rPr>
          <w:sz w:val="24"/>
        </w:rPr>
        <w:tab/>
      </w:r>
      <w:r>
        <w:rPr>
          <w:sz w:val="24"/>
        </w:rPr>
        <w:fldChar w:fldCharType="begin"/>
      </w:r>
      <w:r>
        <w:rPr>
          <w:sz w:val="24"/>
        </w:rPr>
        <w:instrText xml:space="preserve"> PAGEREF _Toc11541 </w:instrText>
      </w:r>
      <w:r>
        <w:rPr>
          <w:sz w:val="24"/>
        </w:rPr>
        <w:fldChar w:fldCharType="separate"/>
      </w:r>
      <w:r>
        <w:rPr>
          <w:sz w:val="24"/>
        </w:rPr>
        <w:t>41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"_Toc3894" </w:instrText>
      </w:r>
      <w:r>
        <w:fldChar w:fldCharType="separate"/>
      </w:r>
      <w:r>
        <w:rPr>
          <w:rFonts w:hint="eastAsia" w:ascii="仿宋" w:hAnsi="仿宋" w:eastAsia="仿宋" w:cs="仿宋"/>
          <w:bCs/>
          <w:sz w:val="24"/>
        </w:rPr>
        <w:t>5.2.2生产设施风险防范措施</w:t>
      </w:r>
      <w:r>
        <w:rPr>
          <w:sz w:val="24"/>
        </w:rPr>
        <w:tab/>
      </w:r>
      <w:r>
        <w:rPr>
          <w:sz w:val="24"/>
        </w:rPr>
        <w:fldChar w:fldCharType="begin"/>
      </w:r>
      <w:r>
        <w:rPr>
          <w:sz w:val="24"/>
        </w:rPr>
        <w:instrText xml:space="preserve"> PAGEREF _Toc3894 </w:instrText>
      </w:r>
      <w:r>
        <w:rPr>
          <w:sz w:val="24"/>
        </w:rPr>
        <w:fldChar w:fldCharType="separate"/>
      </w:r>
      <w:r>
        <w:rPr>
          <w:sz w:val="24"/>
        </w:rPr>
        <w:t>41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"_Toc27482" </w:instrText>
      </w:r>
      <w:r>
        <w:fldChar w:fldCharType="separate"/>
      </w:r>
      <w:r>
        <w:rPr>
          <w:rFonts w:hint="eastAsia" w:ascii="仿宋" w:hAnsi="仿宋" w:eastAsia="仿宋" w:cs="仿宋"/>
          <w:bCs/>
          <w:sz w:val="24"/>
        </w:rPr>
        <w:t>5.2.3危化品仓库风险防范措施</w:t>
      </w:r>
      <w:r>
        <w:rPr>
          <w:sz w:val="24"/>
        </w:rPr>
        <w:tab/>
      </w:r>
      <w:r>
        <w:rPr>
          <w:sz w:val="24"/>
        </w:rPr>
        <w:fldChar w:fldCharType="begin"/>
      </w:r>
      <w:r>
        <w:rPr>
          <w:sz w:val="24"/>
        </w:rPr>
        <w:instrText xml:space="preserve"> PAGEREF _Toc27482 </w:instrText>
      </w:r>
      <w:r>
        <w:rPr>
          <w:sz w:val="24"/>
        </w:rPr>
        <w:fldChar w:fldCharType="separate"/>
      </w:r>
      <w:r>
        <w:rPr>
          <w:sz w:val="24"/>
        </w:rPr>
        <w:t>43</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"_Toc1094" </w:instrText>
      </w:r>
      <w:r>
        <w:fldChar w:fldCharType="separate"/>
      </w:r>
      <w:r>
        <w:rPr>
          <w:rFonts w:hint="eastAsia" w:ascii="仿宋" w:hAnsi="仿宋" w:eastAsia="仿宋" w:cs="仿宋"/>
          <w:bCs/>
          <w:sz w:val="24"/>
        </w:rPr>
        <w:t>5.2.4废水处理设施风险防范措施</w:t>
      </w:r>
      <w:r>
        <w:rPr>
          <w:sz w:val="24"/>
        </w:rPr>
        <w:tab/>
      </w:r>
      <w:r>
        <w:rPr>
          <w:sz w:val="24"/>
        </w:rPr>
        <w:fldChar w:fldCharType="begin"/>
      </w:r>
      <w:r>
        <w:rPr>
          <w:sz w:val="24"/>
        </w:rPr>
        <w:instrText xml:space="preserve"> PAGEREF _Toc1094 </w:instrText>
      </w:r>
      <w:r>
        <w:rPr>
          <w:sz w:val="24"/>
        </w:rPr>
        <w:fldChar w:fldCharType="separate"/>
      </w:r>
      <w:r>
        <w:rPr>
          <w:sz w:val="24"/>
        </w:rPr>
        <w:t>44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"_Toc21165" </w:instrText>
      </w:r>
      <w:r>
        <w:fldChar w:fldCharType="separate"/>
      </w:r>
      <w:r>
        <w:rPr>
          <w:rFonts w:hint="eastAsia" w:ascii="仿宋" w:hAnsi="仿宋" w:eastAsia="仿宋" w:cs="仿宋"/>
          <w:bCs/>
          <w:sz w:val="24"/>
        </w:rPr>
        <w:t>5.2.5废气处理设施风险防范措施</w:t>
      </w:r>
      <w:r>
        <w:rPr>
          <w:sz w:val="24"/>
        </w:rPr>
        <w:tab/>
      </w:r>
      <w:r>
        <w:rPr>
          <w:sz w:val="24"/>
        </w:rPr>
        <w:fldChar w:fldCharType="begin"/>
      </w:r>
      <w:r>
        <w:rPr>
          <w:sz w:val="24"/>
        </w:rPr>
        <w:instrText xml:space="preserve"> PAGEREF _Toc21165 </w:instrText>
      </w:r>
      <w:r>
        <w:rPr>
          <w:sz w:val="24"/>
        </w:rPr>
        <w:fldChar w:fldCharType="separate"/>
      </w:r>
      <w:r>
        <w:rPr>
          <w:sz w:val="24"/>
        </w:rPr>
        <w:t>44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"_Toc30818" </w:instrText>
      </w:r>
      <w:r>
        <w:fldChar w:fldCharType="separate"/>
      </w:r>
      <w:r>
        <w:rPr>
          <w:rFonts w:hint="eastAsia" w:ascii="仿宋" w:hAnsi="仿宋" w:eastAsia="仿宋" w:cs="仿宋"/>
          <w:bCs/>
          <w:sz w:val="24"/>
        </w:rPr>
        <w:t>5.2.6危险废物储存风险防范措施</w:t>
      </w:r>
      <w:r>
        <w:rPr>
          <w:sz w:val="24"/>
        </w:rPr>
        <w:tab/>
      </w:r>
      <w:r>
        <w:rPr>
          <w:sz w:val="24"/>
        </w:rPr>
        <w:fldChar w:fldCharType="begin"/>
      </w:r>
      <w:r>
        <w:rPr>
          <w:sz w:val="24"/>
        </w:rPr>
        <w:instrText xml:space="preserve"> PAGEREF _Toc30818 </w:instrText>
      </w:r>
      <w:r>
        <w:rPr>
          <w:sz w:val="24"/>
        </w:rPr>
        <w:fldChar w:fldCharType="separate"/>
      </w:r>
      <w:r>
        <w:rPr>
          <w:sz w:val="24"/>
        </w:rPr>
        <w:t>44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"_Toc32564" </w:instrText>
      </w:r>
      <w:r>
        <w:fldChar w:fldCharType="separate"/>
      </w:r>
      <w:r>
        <w:rPr>
          <w:rFonts w:hint="eastAsia" w:ascii="仿宋" w:hAnsi="仿宋" w:eastAsia="仿宋" w:cs="仿宋"/>
          <w:bCs/>
          <w:sz w:val="24"/>
        </w:rPr>
        <w:t>5.2.7突发火灾事故风险防范措施</w:t>
      </w:r>
      <w:r>
        <w:rPr>
          <w:sz w:val="24"/>
        </w:rPr>
        <w:tab/>
      </w:r>
      <w:r>
        <w:rPr>
          <w:sz w:val="24"/>
        </w:rPr>
        <w:fldChar w:fldCharType="begin"/>
      </w:r>
      <w:r>
        <w:rPr>
          <w:sz w:val="24"/>
        </w:rPr>
        <w:instrText xml:space="preserve"> PAGEREF _Toc32564 </w:instrText>
      </w:r>
      <w:r>
        <w:rPr>
          <w:sz w:val="24"/>
        </w:rPr>
        <w:fldChar w:fldCharType="separate"/>
      </w:r>
      <w:r>
        <w:rPr>
          <w:sz w:val="24"/>
        </w:rPr>
        <w:t>44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"_Toc17120" </w:instrText>
      </w:r>
      <w:r>
        <w:fldChar w:fldCharType="separate"/>
      </w:r>
      <w:r>
        <w:rPr>
          <w:rFonts w:hint="eastAsia" w:ascii="仿宋_GB2312" w:hAnsi="华文细黑" w:eastAsia="仿宋_GB2312"/>
          <w:sz w:val="24"/>
        </w:rPr>
        <w:t>5.3预警及措施</w:t>
      </w:r>
      <w:r>
        <w:rPr>
          <w:sz w:val="24"/>
        </w:rPr>
        <w:tab/>
      </w:r>
      <w:r>
        <w:rPr>
          <w:sz w:val="24"/>
        </w:rPr>
        <w:fldChar w:fldCharType="begin"/>
      </w:r>
      <w:r>
        <w:rPr>
          <w:sz w:val="24"/>
        </w:rPr>
        <w:instrText xml:space="preserve"> PAGEREF _Toc17120 </w:instrText>
      </w:r>
      <w:r>
        <w:rPr>
          <w:sz w:val="24"/>
        </w:rPr>
        <w:fldChar w:fldCharType="separate"/>
      </w:r>
      <w:r>
        <w:rPr>
          <w:sz w:val="24"/>
        </w:rPr>
        <w:t>47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"_Toc28581" </w:instrText>
      </w:r>
      <w:r>
        <w:fldChar w:fldCharType="separate"/>
      </w:r>
      <w:r>
        <w:rPr>
          <w:rFonts w:hint="eastAsia" w:ascii="仿宋_GB2312" w:hAnsi="华文细黑" w:eastAsia="仿宋_GB2312"/>
          <w:sz w:val="24"/>
        </w:rPr>
        <w:t>5.3.1预警分级</w:t>
      </w:r>
      <w:r>
        <w:rPr>
          <w:sz w:val="24"/>
        </w:rPr>
        <w:tab/>
      </w:r>
      <w:r>
        <w:rPr>
          <w:sz w:val="24"/>
        </w:rPr>
        <w:fldChar w:fldCharType="begin"/>
      </w:r>
      <w:r>
        <w:rPr>
          <w:sz w:val="24"/>
        </w:rPr>
        <w:instrText xml:space="preserve"> PAGEREF _Toc28581 </w:instrText>
      </w:r>
      <w:r>
        <w:rPr>
          <w:sz w:val="24"/>
        </w:rPr>
        <w:fldChar w:fldCharType="separate"/>
      </w:r>
      <w:r>
        <w:rPr>
          <w:sz w:val="24"/>
        </w:rPr>
        <w:t>47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"_Toc16745" </w:instrText>
      </w:r>
      <w:r>
        <w:fldChar w:fldCharType="separate"/>
      </w:r>
      <w:r>
        <w:rPr>
          <w:rFonts w:hint="eastAsia" w:ascii="仿宋_GB2312" w:hAnsi="华文细黑" w:eastAsia="仿宋_GB2312"/>
          <w:sz w:val="24"/>
        </w:rPr>
        <w:t>5.3.2预警发布的条件</w:t>
      </w:r>
      <w:r>
        <w:rPr>
          <w:sz w:val="24"/>
        </w:rPr>
        <w:tab/>
      </w:r>
      <w:r>
        <w:rPr>
          <w:sz w:val="24"/>
        </w:rPr>
        <w:fldChar w:fldCharType="begin"/>
      </w:r>
      <w:r>
        <w:rPr>
          <w:sz w:val="24"/>
        </w:rPr>
        <w:instrText xml:space="preserve"> PAGEREF _Toc16745 </w:instrText>
      </w:r>
      <w:r>
        <w:rPr>
          <w:sz w:val="24"/>
        </w:rPr>
        <w:fldChar w:fldCharType="separate"/>
      </w:r>
      <w:r>
        <w:rPr>
          <w:sz w:val="24"/>
        </w:rPr>
        <w:t>48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"_Toc17809" </w:instrText>
      </w:r>
      <w:r>
        <w:fldChar w:fldCharType="separate"/>
      </w:r>
      <w:r>
        <w:rPr>
          <w:rFonts w:hint="eastAsia" w:ascii="仿宋_GB2312" w:hAnsi="华文细黑" w:eastAsia="仿宋_GB2312"/>
          <w:sz w:val="24"/>
        </w:rPr>
        <w:t>5.3.3预警发布的方式、方法</w:t>
      </w:r>
      <w:r>
        <w:rPr>
          <w:sz w:val="24"/>
        </w:rPr>
        <w:tab/>
      </w:r>
      <w:r>
        <w:rPr>
          <w:sz w:val="24"/>
        </w:rPr>
        <w:fldChar w:fldCharType="begin"/>
      </w:r>
      <w:r>
        <w:rPr>
          <w:sz w:val="24"/>
        </w:rPr>
        <w:instrText xml:space="preserve"> PAGEREF _Toc17809 </w:instrText>
      </w:r>
      <w:r>
        <w:rPr>
          <w:sz w:val="24"/>
        </w:rPr>
        <w:fldChar w:fldCharType="separate"/>
      </w:r>
      <w:r>
        <w:rPr>
          <w:sz w:val="24"/>
        </w:rPr>
        <w:t>48</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"_Toc1971" </w:instrText>
      </w:r>
      <w:r>
        <w:fldChar w:fldCharType="separate"/>
      </w:r>
      <w:r>
        <w:rPr>
          <w:rFonts w:hint="eastAsia" w:ascii="仿宋_GB2312" w:hAnsi="华文细黑" w:eastAsia="仿宋_GB2312"/>
          <w:sz w:val="24"/>
        </w:rPr>
        <w:t>5.3.4预警措施</w:t>
      </w:r>
      <w:r>
        <w:rPr>
          <w:sz w:val="24"/>
        </w:rPr>
        <w:tab/>
      </w:r>
      <w:r>
        <w:rPr>
          <w:sz w:val="24"/>
        </w:rPr>
        <w:fldChar w:fldCharType="begin"/>
      </w:r>
      <w:r>
        <w:rPr>
          <w:sz w:val="24"/>
        </w:rPr>
        <w:instrText xml:space="preserve"> PAGEREF _Toc1971 </w:instrText>
      </w:r>
      <w:r>
        <w:rPr>
          <w:sz w:val="24"/>
        </w:rPr>
        <w:fldChar w:fldCharType="separate"/>
      </w:r>
      <w:r>
        <w:rPr>
          <w:sz w:val="24"/>
        </w:rPr>
        <w:t>48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"_Toc25774" </w:instrText>
      </w:r>
      <w:r>
        <w:fldChar w:fldCharType="separate"/>
      </w:r>
      <w:r>
        <w:rPr>
          <w:rFonts w:hint="eastAsia" w:ascii="仿宋_GB2312" w:hAnsi="华文细黑" w:eastAsia="仿宋_GB2312"/>
          <w:sz w:val="24"/>
        </w:rPr>
        <w:t>5.4 预警、调整与解除</w:t>
      </w:r>
      <w:r>
        <w:rPr>
          <w:sz w:val="24"/>
        </w:rPr>
        <w:tab/>
      </w:r>
      <w:r>
        <w:rPr>
          <w:sz w:val="24"/>
        </w:rPr>
        <w:fldChar w:fldCharType="begin"/>
      </w:r>
      <w:r>
        <w:rPr>
          <w:sz w:val="24"/>
        </w:rPr>
        <w:instrText xml:space="preserve"> PAGEREF _Toc25774 </w:instrText>
      </w:r>
      <w:r>
        <w:rPr>
          <w:sz w:val="24"/>
        </w:rPr>
        <w:fldChar w:fldCharType="separate"/>
      </w:r>
      <w:r>
        <w:rPr>
          <w:sz w:val="24"/>
        </w:rPr>
        <w:t>49</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"_Toc30216" </w:instrText>
      </w:r>
      <w:r>
        <w:fldChar w:fldCharType="separate"/>
      </w:r>
      <w:r>
        <w:rPr>
          <w:rFonts w:hint="eastAsia"/>
          <w:sz w:val="24"/>
          <w:szCs w:val="24"/>
        </w:rPr>
        <w:t>6 应急处置</w:t>
      </w:r>
      <w:r>
        <w:rPr>
          <w:sz w:val="24"/>
          <w:szCs w:val="24"/>
        </w:rPr>
        <w:tab/>
      </w:r>
      <w:r>
        <w:rPr>
          <w:sz w:val="24"/>
          <w:szCs w:val="24"/>
        </w:rPr>
        <w:fldChar w:fldCharType="begin"/>
      </w:r>
      <w:r>
        <w:rPr>
          <w:sz w:val="24"/>
          <w:szCs w:val="24"/>
        </w:rPr>
        <w:instrText xml:space="preserve"> PAGEREF _Toc30216 </w:instrText>
      </w:r>
      <w:r>
        <w:rPr>
          <w:sz w:val="24"/>
          <w:szCs w:val="24"/>
        </w:rPr>
        <w:fldChar w:fldCharType="separate"/>
      </w:r>
      <w:r>
        <w:rPr>
          <w:sz w:val="24"/>
          <w:szCs w:val="24"/>
        </w:rPr>
        <w:t>50</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"_Toc20939" </w:instrText>
      </w:r>
      <w:r>
        <w:fldChar w:fldCharType="separate"/>
      </w:r>
      <w:r>
        <w:rPr>
          <w:rFonts w:hint="eastAsia" w:ascii="仿宋_GB2312" w:hAnsi="华文细黑" w:eastAsia="仿宋_GB2312"/>
          <w:sz w:val="24"/>
        </w:rPr>
        <w:t>6.1应急响应</w:t>
      </w:r>
      <w:r>
        <w:rPr>
          <w:sz w:val="24"/>
        </w:rPr>
        <w:tab/>
      </w:r>
      <w:r>
        <w:rPr>
          <w:sz w:val="24"/>
        </w:rPr>
        <w:fldChar w:fldCharType="begin"/>
      </w:r>
      <w:r>
        <w:rPr>
          <w:sz w:val="24"/>
        </w:rPr>
        <w:instrText xml:space="preserve"> PAGEREF _Toc20939 </w:instrText>
      </w:r>
      <w:r>
        <w:rPr>
          <w:sz w:val="24"/>
        </w:rPr>
        <w:fldChar w:fldCharType="separate"/>
      </w:r>
      <w:r>
        <w:rPr>
          <w:sz w:val="24"/>
        </w:rPr>
        <w:t>50</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"_Toc13568" </w:instrText>
      </w:r>
      <w:r>
        <w:fldChar w:fldCharType="separate"/>
      </w:r>
      <w:r>
        <w:rPr>
          <w:rFonts w:hint="eastAsia" w:ascii="仿宋_GB2312" w:hAnsi="华文细黑" w:eastAsia="仿宋_GB2312"/>
          <w:sz w:val="24"/>
        </w:rPr>
        <w:t>6.1.1分级响应</w:t>
      </w:r>
      <w:r>
        <w:rPr>
          <w:sz w:val="24"/>
        </w:rPr>
        <w:tab/>
      </w:r>
      <w:r>
        <w:rPr>
          <w:sz w:val="24"/>
        </w:rPr>
        <w:fldChar w:fldCharType="begin"/>
      </w:r>
      <w:r>
        <w:rPr>
          <w:sz w:val="24"/>
        </w:rPr>
        <w:instrText xml:space="preserve"> PAGEREF _Toc13568 </w:instrText>
      </w:r>
      <w:r>
        <w:rPr>
          <w:sz w:val="24"/>
        </w:rPr>
        <w:fldChar w:fldCharType="separate"/>
      </w:r>
      <w:r>
        <w:rPr>
          <w:sz w:val="24"/>
        </w:rPr>
        <w:t>50</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"_Toc30232" </w:instrText>
      </w:r>
      <w:r>
        <w:fldChar w:fldCharType="separate"/>
      </w:r>
      <w:r>
        <w:rPr>
          <w:rFonts w:hint="eastAsia" w:ascii="仿宋_GB2312" w:hAnsi="华文细黑" w:eastAsia="仿宋_GB2312"/>
          <w:sz w:val="24"/>
        </w:rPr>
        <w:t>6.1.2响应程序</w:t>
      </w:r>
      <w:r>
        <w:rPr>
          <w:sz w:val="24"/>
        </w:rPr>
        <w:tab/>
      </w:r>
      <w:r>
        <w:rPr>
          <w:sz w:val="24"/>
        </w:rPr>
        <w:fldChar w:fldCharType="begin"/>
      </w:r>
      <w:r>
        <w:rPr>
          <w:sz w:val="24"/>
        </w:rPr>
        <w:instrText xml:space="preserve"> PAGEREF _Toc30232 </w:instrText>
      </w:r>
      <w:r>
        <w:rPr>
          <w:sz w:val="24"/>
        </w:rPr>
        <w:fldChar w:fldCharType="separate"/>
      </w:r>
      <w:r>
        <w:rPr>
          <w:sz w:val="24"/>
        </w:rPr>
        <w:t>50</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"_Toc18458" </w:instrText>
      </w:r>
      <w:r>
        <w:fldChar w:fldCharType="separate"/>
      </w:r>
      <w:r>
        <w:rPr>
          <w:rFonts w:hint="eastAsia" w:ascii="仿宋_GB2312" w:hAnsi="华文细黑" w:eastAsia="仿宋_GB2312"/>
          <w:sz w:val="24"/>
        </w:rPr>
        <w:t>6.1.2.1响应的启动条件</w:t>
      </w:r>
      <w:r>
        <w:rPr>
          <w:sz w:val="24"/>
        </w:rPr>
        <w:tab/>
      </w:r>
      <w:r>
        <w:rPr>
          <w:sz w:val="24"/>
        </w:rPr>
        <w:fldChar w:fldCharType="begin"/>
      </w:r>
      <w:r>
        <w:rPr>
          <w:sz w:val="24"/>
        </w:rPr>
        <w:instrText xml:space="preserve"> PAGEREF _Toc18458 </w:instrText>
      </w:r>
      <w:r>
        <w:rPr>
          <w:sz w:val="24"/>
        </w:rPr>
        <w:fldChar w:fldCharType="separate"/>
      </w:r>
      <w:r>
        <w:rPr>
          <w:sz w:val="24"/>
        </w:rPr>
        <w:t>50</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"_Toc20959" </w:instrText>
      </w:r>
      <w:r>
        <w:fldChar w:fldCharType="separate"/>
      </w:r>
      <w:r>
        <w:rPr>
          <w:rFonts w:hint="eastAsia" w:ascii="仿宋_GB2312" w:hAnsi="华文细黑" w:eastAsia="仿宋_GB2312"/>
          <w:sz w:val="24"/>
        </w:rPr>
        <w:t>6.1.2.2响应启动程序</w:t>
      </w:r>
      <w:r>
        <w:rPr>
          <w:sz w:val="24"/>
        </w:rPr>
        <w:tab/>
      </w:r>
      <w:r>
        <w:rPr>
          <w:sz w:val="24"/>
        </w:rPr>
        <w:fldChar w:fldCharType="begin"/>
      </w:r>
      <w:r>
        <w:rPr>
          <w:sz w:val="24"/>
        </w:rPr>
        <w:instrText xml:space="preserve"> PAGEREF _Toc20959 </w:instrText>
      </w:r>
      <w:r>
        <w:rPr>
          <w:sz w:val="24"/>
        </w:rPr>
        <w:fldChar w:fldCharType="separate"/>
      </w:r>
      <w:r>
        <w:rPr>
          <w:sz w:val="24"/>
        </w:rPr>
        <w:t>50</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"_Toc13854" </w:instrText>
      </w:r>
      <w:r>
        <w:fldChar w:fldCharType="separate"/>
      </w:r>
      <w:r>
        <w:rPr>
          <w:rFonts w:hint="eastAsia" w:ascii="仿宋" w:hAnsi="仿宋" w:eastAsia="仿宋" w:cs="仿宋"/>
          <w:sz w:val="24"/>
        </w:rPr>
        <w:t>6.1.3应急结束</w:t>
      </w:r>
      <w:r>
        <w:rPr>
          <w:sz w:val="24"/>
        </w:rPr>
        <w:tab/>
      </w:r>
      <w:r>
        <w:rPr>
          <w:sz w:val="24"/>
        </w:rPr>
        <w:fldChar w:fldCharType="begin"/>
      </w:r>
      <w:r>
        <w:rPr>
          <w:sz w:val="24"/>
        </w:rPr>
        <w:instrText xml:space="preserve"> PAGEREF _Toc13854 </w:instrText>
      </w:r>
      <w:r>
        <w:rPr>
          <w:sz w:val="24"/>
        </w:rPr>
        <w:fldChar w:fldCharType="separate"/>
      </w:r>
      <w:r>
        <w:rPr>
          <w:sz w:val="24"/>
        </w:rPr>
        <w:t>50</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"_Toc16874" </w:instrText>
      </w:r>
      <w:r>
        <w:fldChar w:fldCharType="separate"/>
      </w:r>
      <w:r>
        <w:rPr>
          <w:rFonts w:hint="eastAsia" w:ascii="仿宋_GB2312" w:hAnsi="华文细黑" w:eastAsia="仿宋_GB2312"/>
          <w:sz w:val="24"/>
        </w:rPr>
        <w:t>6.2应急处置措施</w:t>
      </w:r>
      <w:r>
        <w:rPr>
          <w:sz w:val="24"/>
        </w:rPr>
        <w:tab/>
      </w:r>
      <w:r>
        <w:rPr>
          <w:sz w:val="24"/>
        </w:rPr>
        <w:fldChar w:fldCharType="begin"/>
      </w:r>
      <w:r>
        <w:rPr>
          <w:sz w:val="24"/>
        </w:rPr>
        <w:instrText xml:space="preserve"> PAGEREF _Toc16874 </w:instrText>
      </w:r>
      <w:r>
        <w:rPr>
          <w:sz w:val="24"/>
        </w:rPr>
        <w:fldChar w:fldCharType="separate"/>
      </w:r>
      <w:r>
        <w:rPr>
          <w:sz w:val="24"/>
        </w:rPr>
        <w:t>51</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"_Toc32095" </w:instrText>
      </w:r>
      <w:r>
        <w:fldChar w:fldCharType="separate"/>
      </w:r>
      <w:r>
        <w:rPr>
          <w:rFonts w:hint="eastAsia" w:ascii="仿宋" w:hAnsi="仿宋" w:eastAsia="仿宋" w:cs="仿宋"/>
          <w:sz w:val="24"/>
        </w:rPr>
        <w:t>6.2.1突发环境事件应急处置措施</w:t>
      </w:r>
      <w:r>
        <w:rPr>
          <w:sz w:val="24"/>
        </w:rPr>
        <w:tab/>
      </w:r>
      <w:r>
        <w:rPr>
          <w:sz w:val="24"/>
        </w:rPr>
        <w:fldChar w:fldCharType="begin"/>
      </w:r>
      <w:r>
        <w:rPr>
          <w:sz w:val="24"/>
        </w:rPr>
        <w:instrText xml:space="preserve"> PAGEREF _Toc32095 </w:instrText>
      </w:r>
      <w:r>
        <w:rPr>
          <w:sz w:val="24"/>
        </w:rPr>
        <w:fldChar w:fldCharType="separate"/>
      </w:r>
      <w:r>
        <w:rPr>
          <w:sz w:val="24"/>
        </w:rPr>
        <w:t>51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"_Toc21794" </w:instrText>
      </w:r>
      <w:r>
        <w:fldChar w:fldCharType="separate"/>
      </w:r>
      <w:r>
        <w:rPr>
          <w:rFonts w:hint="eastAsia" w:ascii="仿宋_GB2312" w:hAnsi="华文细黑" w:eastAsia="仿宋_GB2312"/>
          <w:sz w:val="24"/>
        </w:rPr>
        <w:t>6.2.2污水处理设施故障应急处置措施</w:t>
      </w:r>
      <w:r>
        <w:rPr>
          <w:sz w:val="24"/>
        </w:rPr>
        <w:tab/>
      </w:r>
      <w:r>
        <w:rPr>
          <w:sz w:val="24"/>
        </w:rPr>
        <w:fldChar w:fldCharType="begin"/>
      </w:r>
      <w:r>
        <w:rPr>
          <w:sz w:val="24"/>
        </w:rPr>
        <w:instrText xml:space="preserve"> PAGEREF _Toc21794 </w:instrText>
      </w:r>
      <w:r>
        <w:rPr>
          <w:sz w:val="24"/>
        </w:rPr>
        <w:fldChar w:fldCharType="separate"/>
      </w:r>
      <w:r>
        <w:rPr>
          <w:sz w:val="24"/>
        </w:rPr>
        <w:t>54</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"_Toc31588" </w:instrText>
      </w:r>
      <w:r>
        <w:fldChar w:fldCharType="separate"/>
      </w:r>
      <w:r>
        <w:rPr>
          <w:rFonts w:hint="eastAsia" w:ascii="仿宋" w:hAnsi="仿宋" w:eastAsia="仿宋" w:cs="仿宋"/>
          <w:bCs/>
          <w:sz w:val="24"/>
        </w:rPr>
        <w:t>6.2.3废气处理设施故障应急处置措施</w:t>
      </w:r>
      <w:r>
        <w:rPr>
          <w:sz w:val="24"/>
        </w:rPr>
        <w:tab/>
      </w:r>
      <w:r>
        <w:rPr>
          <w:sz w:val="24"/>
        </w:rPr>
        <w:fldChar w:fldCharType="begin"/>
      </w:r>
      <w:r>
        <w:rPr>
          <w:sz w:val="24"/>
        </w:rPr>
        <w:instrText xml:space="preserve"> PAGEREF _Toc31588 </w:instrText>
      </w:r>
      <w:r>
        <w:rPr>
          <w:sz w:val="24"/>
        </w:rPr>
        <w:fldChar w:fldCharType="separate"/>
      </w:r>
      <w:r>
        <w:rPr>
          <w:sz w:val="24"/>
        </w:rPr>
        <w:t>55</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"_Toc23601" </w:instrText>
      </w:r>
      <w:r>
        <w:fldChar w:fldCharType="separate"/>
      </w:r>
      <w:r>
        <w:rPr>
          <w:rFonts w:hint="eastAsia" w:ascii="仿宋_GB2312" w:hAnsi="华文细黑" w:eastAsia="仿宋_GB2312"/>
          <w:sz w:val="24"/>
        </w:rPr>
        <w:t>6.3抢险、救援及控制措施</w:t>
      </w:r>
      <w:r>
        <w:rPr>
          <w:sz w:val="24"/>
        </w:rPr>
        <w:tab/>
      </w:r>
      <w:r>
        <w:rPr>
          <w:sz w:val="24"/>
        </w:rPr>
        <w:fldChar w:fldCharType="begin"/>
      </w:r>
      <w:r>
        <w:rPr>
          <w:sz w:val="24"/>
        </w:rPr>
        <w:instrText xml:space="preserve"> PAGEREF _Toc23601 </w:instrText>
      </w:r>
      <w:r>
        <w:rPr>
          <w:sz w:val="24"/>
        </w:rPr>
        <w:fldChar w:fldCharType="separate"/>
      </w:r>
      <w:r>
        <w:rPr>
          <w:sz w:val="24"/>
        </w:rPr>
        <w:t>55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"_Toc27261" </w:instrText>
      </w:r>
      <w:r>
        <w:fldChar w:fldCharType="separate"/>
      </w:r>
      <w:r>
        <w:rPr>
          <w:rFonts w:hint="eastAsia" w:ascii="仿宋_GB2312" w:hAnsi="华文细黑" w:eastAsia="仿宋_GB2312"/>
          <w:sz w:val="24"/>
        </w:rPr>
        <w:t>6.3.1应急救援队伍的调度和保障供应措施</w:t>
      </w:r>
      <w:r>
        <w:rPr>
          <w:sz w:val="24"/>
        </w:rPr>
        <w:tab/>
      </w:r>
      <w:r>
        <w:rPr>
          <w:sz w:val="24"/>
        </w:rPr>
        <w:fldChar w:fldCharType="begin"/>
      </w:r>
      <w:r>
        <w:rPr>
          <w:sz w:val="24"/>
        </w:rPr>
        <w:instrText xml:space="preserve"> PAGEREF _Toc27261 </w:instrText>
      </w:r>
      <w:r>
        <w:rPr>
          <w:sz w:val="24"/>
        </w:rPr>
        <w:fldChar w:fldCharType="separate"/>
      </w:r>
      <w:r>
        <w:rPr>
          <w:sz w:val="24"/>
        </w:rPr>
        <w:t>55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"_Toc27439" </w:instrText>
      </w:r>
      <w:r>
        <w:fldChar w:fldCharType="separate"/>
      </w:r>
      <w:r>
        <w:rPr>
          <w:rFonts w:hint="eastAsia" w:ascii="仿宋_GB2312" w:hAnsi="华文细黑" w:eastAsia="仿宋_GB2312"/>
          <w:sz w:val="24"/>
        </w:rPr>
        <w:t>6.3.2控制事故扩大的措施</w:t>
      </w:r>
      <w:r>
        <w:rPr>
          <w:sz w:val="24"/>
        </w:rPr>
        <w:tab/>
      </w:r>
      <w:r>
        <w:rPr>
          <w:sz w:val="24"/>
        </w:rPr>
        <w:fldChar w:fldCharType="begin"/>
      </w:r>
      <w:r>
        <w:rPr>
          <w:sz w:val="24"/>
        </w:rPr>
        <w:instrText xml:space="preserve"> PAGEREF _Toc27439 </w:instrText>
      </w:r>
      <w:r>
        <w:rPr>
          <w:sz w:val="24"/>
        </w:rPr>
        <w:fldChar w:fldCharType="separate"/>
      </w:r>
      <w:r>
        <w:rPr>
          <w:sz w:val="24"/>
        </w:rPr>
        <w:t>55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"_Toc27977" </w:instrText>
      </w:r>
      <w:r>
        <w:fldChar w:fldCharType="separate"/>
      </w:r>
      <w:r>
        <w:rPr>
          <w:rFonts w:hint="eastAsia" w:ascii="仿宋_GB2312" w:hAnsi="华文细黑" w:eastAsia="仿宋_GB2312"/>
          <w:sz w:val="24"/>
        </w:rPr>
        <w:t>6.3.3事故可能扩大后的应急措施</w:t>
      </w:r>
      <w:r>
        <w:rPr>
          <w:sz w:val="24"/>
        </w:rPr>
        <w:tab/>
      </w:r>
      <w:r>
        <w:rPr>
          <w:sz w:val="24"/>
        </w:rPr>
        <w:fldChar w:fldCharType="begin"/>
      </w:r>
      <w:r>
        <w:rPr>
          <w:sz w:val="24"/>
        </w:rPr>
        <w:instrText xml:space="preserve"> PAGEREF _Toc27977 </w:instrText>
      </w:r>
      <w:r>
        <w:rPr>
          <w:sz w:val="24"/>
        </w:rPr>
        <w:fldChar w:fldCharType="separate"/>
      </w:r>
      <w:r>
        <w:rPr>
          <w:sz w:val="24"/>
        </w:rPr>
        <w:t>55</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"_Toc1432" </w:instrText>
      </w:r>
      <w:r>
        <w:fldChar w:fldCharType="separate"/>
      </w:r>
      <w:r>
        <w:rPr>
          <w:rFonts w:hint="eastAsia" w:ascii="仿宋_GB2312" w:hAnsi="华文细黑" w:eastAsia="仿宋_GB2312"/>
          <w:sz w:val="24"/>
        </w:rPr>
        <w:t>6.4 应急监测</w:t>
      </w:r>
      <w:r>
        <w:rPr>
          <w:sz w:val="24"/>
        </w:rPr>
        <w:tab/>
      </w:r>
      <w:r>
        <w:rPr>
          <w:sz w:val="24"/>
        </w:rPr>
        <w:fldChar w:fldCharType="begin"/>
      </w:r>
      <w:r>
        <w:rPr>
          <w:sz w:val="24"/>
        </w:rPr>
        <w:instrText xml:space="preserve"> PAGEREF _Toc1432 </w:instrText>
      </w:r>
      <w:r>
        <w:rPr>
          <w:sz w:val="24"/>
        </w:rPr>
        <w:fldChar w:fldCharType="separate"/>
      </w:r>
      <w:r>
        <w:rPr>
          <w:sz w:val="24"/>
        </w:rPr>
        <w:t>56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"_Toc8004" </w:instrText>
      </w:r>
      <w:r>
        <w:fldChar w:fldCharType="separate"/>
      </w:r>
      <w:r>
        <w:rPr>
          <w:rFonts w:hint="eastAsia" w:ascii="仿宋_GB2312" w:hAnsi="华文细黑" w:eastAsia="仿宋_GB2312"/>
          <w:sz w:val="24"/>
        </w:rPr>
        <w:t>6.4.1应急监测方案</w:t>
      </w:r>
      <w:r>
        <w:rPr>
          <w:sz w:val="24"/>
        </w:rPr>
        <w:tab/>
      </w:r>
      <w:r>
        <w:rPr>
          <w:sz w:val="24"/>
        </w:rPr>
        <w:fldChar w:fldCharType="begin"/>
      </w:r>
      <w:r>
        <w:rPr>
          <w:sz w:val="24"/>
        </w:rPr>
        <w:instrText xml:space="preserve"> PAGEREF _Toc8004 </w:instrText>
      </w:r>
      <w:r>
        <w:rPr>
          <w:sz w:val="24"/>
        </w:rPr>
        <w:fldChar w:fldCharType="separate"/>
      </w:r>
      <w:r>
        <w:rPr>
          <w:sz w:val="24"/>
        </w:rPr>
        <w:t>56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"_Toc12068" </w:instrText>
      </w:r>
      <w:r>
        <w:fldChar w:fldCharType="separate"/>
      </w:r>
      <w:r>
        <w:rPr>
          <w:rFonts w:hint="eastAsia" w:ascii="仿宋_GB2312" w:hAnsi="华文细黑" w:eastAsia="仿宋_GB2312"/>
          <w:sz w:val="24"/>
        </w:rPr>
        <w:t>6.4.2水环境监测</w:t>
      </w:r>
      <w:r>
        <w:rPr>
          <w:sz w:val="24"/>
        </w:rPr>
        <w:tab/>
      </w:r>
      <w:r>
        <w:rPr>
          <w:sz w:val="24"/>
        </w:rPr>
        <w:fldChar w:fldCharType="begin"/>
      </w:r>
      <w:r>
        <w:rPr>
          <w:sz w:val="24"/>
        </w:rPr>
        <w:instrText xml:space="preserve"> PAGEREF _Toc12068 </w:instrText>
      </w:r>
      <w:r>
        <w:rPr>
          <w:sz w:val="24"/>
        </w:rPr>
        <w:fldChar w:fldCharType="separate"/>
      </w:r>
      <w:r>
        <w:rPr>
          <w:sz w:val="24"/>
        </w:rPr>
        <w:t>56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"_Toc6858" </w:instrText>
      </w:r>
      <w:r>
        <w:fldChar w:fldCharType="separate"/>
      </w:r>
      <w:r>
        <w:rPr>
          <w:rFonts w:hint="eastAsia" w:ascii="仿宋_GB2312" w:hAnsi="华文细黑" w:eastAsia="仿宋_GB2312"/>
          <w:sz w:val="24"/>
        </w:rPr>
        <w:t>6.4.3大气监测</w:t>
      </w:r>
      <w:r>
        <w:rPr>
          <w:sz w:val="24"/>
        </w:rPr>
        <w:tab/>
      </w:r>
      <w:r>
        <w:rPr>
          <w:sz w:val="24"/>
        </w:rPr>
        <w:fldChar w:fldCharType="begin"/>
      </w:r>
      <w:r>
        <w:rPr>
          <w:sz w:val="24"/>
        </w:rPr>
        <w:instrText xml:space="preserve"> PAGEREF _Toc6858 </w:instrText>
      </w:r>
      <w:r>
        <w:rPr>
          <w:sz w:val="24"/>
        </w:rPr>
        <w:fldChar w:fldCharType="separate"/>
      </w:r>
      <w:r>
        <w:rPr>
          <w:sz w:val="24"/>
        </w:rPr>
        <w:t>56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"_Toc12345" </w:instrText>
      </w:r>
      <w:r>
        <w:fldChar w:fldCharType="separate"/>
      </w:r>
      <w:r>
        <w:rPr>
          <w:rFonts w:hint="eastAsia" w:ascii="仿宋_GB2312" w:hAnsi="华文细黑" w:eastAsia="仿宋_GB2312"/>
          <w:sz w:val="24"/>
        </w:rPr>
        <w:t>6.4.4应急监测人员的安全防护措施</w:t>
      </w:r>
      <w:r>
        <w:rPr>
          <w:sz w:val="24"/>
        </w:rPr>
        <w:tab/>
      </w:r>
      <w:r>
        <w:rPr>
          <w:sz w:val="24"/>
        </w:rPr>
        <w:fldChar w:fldCharType="begin"/>
      </w:r>
      <w:r>
        <w:rPr>
          <w:sz w:val="24"/>
        </w:rPr>
        <w:instrText xml:space="preserve"> PAGEREF _Toc12345 </w:instrText>
      </w:r>
      <w:r>
        <w:rPr>
          <w:sz w:val="24"/>
        </w:rPr>
        <w:fldChar w:fldCharType="separate"/>
      </w:r>
      <w:r>
        <w:rPr>
          <w:sz w:val="24"/>
        </w:rPr>
        <w:t>56</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"_Toc10294" </w:instrText>
      </w:r>
      <w:r>
        <w:fldChar w:fldCharType="separate"/>
      </w:r>
      <w:r>
        <w:rPr>
          <w:rFonts w:hint="eastAsia" w:ascii="仿宋_GB2312" w:hAnsi="华文细黑" w:eastAsia="仿宋_GB2312"/>
          <w:sz w:val="24"/>
        </w:rPr>
        <w:t>6.4.5应急监测分工</w:t>
      </w:r>
      <w:r>
        <w:rPr>
          <w:sz w:val="24"/>
        </w:rPr>
        <w:tab/>
      </w:r>
      <w:r>
        <w:rPr>
          <w:sz w:val="24"/>
        </w:rPr>
        <w:fldChar w:fldCharType="begin"/>
      </w:r>
      <w:r>
        <w:rPr>
          <w:sz w:val="24"/>
        </w:rPr>
        <w:instrText xml:space="preserve"> PAGEREF _Toc10294 </w:instrText>
      </w:r>
      <w:r>
        <w:rPr>
          <w:sz w:val="24"/>
        </w:rPr>
        <w:fldChar w:fldCharType="separate"/>
      </w:r>
      <w:r>
        <w:rPr>
          <w:sz w:val="24"/>
        </w:rPr>
        <w:t>57</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"_Toc4878" </w:instrText>
      </w:r>
      <w:r>
        <w:fldChar w:fldCharType="separate"/>
      </w:r>
      <w:r>
        <w:rPr>
          <w:rFonts w:hint="eastAsia" w:ascii="仿宋_GB2312" w:hAnsi="华文细黑" w:eastAsia="仿宋_GB2312"/>
          <w:sz w:val="24"/>
        </w:rPr>
        <w:t>6.5信息报告与发布</w:t>
      </w:r>
      <w:r>
        <w:rPr>
          <w:sz w:val="24"/>
        </w:rPr>
        <w:tab/>
      </w:r>
      <w:r>
        <w:rPr>
          <w:sz w:val="24"/>
        </w:rPr>
        <w:fldChar w:fldCharType="begin"/>
      </w:r>
      <w:r>
        <w:rPr>
          <w:sz w:val="24"/>
        </w:rPr>
        <w:instrText xml:space="preserve"> PAGEREF _Toc4878 </w:instrText>
      </w:r>
      <w:r>
        <w:rPr>
          <w:sz w:val="24"/>
        </w:rPr>
        <w:fldChar w:fldCharType="separate"/>
      </w:r>
      <w:r>
        <w:rPr>
          <w:sz w:val="24"/>
        </w:rPr>
        <w:t>57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"_Toc9996" </w:instrText>
      </w:r>
      <w:r>
        <w:fldChar w:fldCharType="separate"/>
      </w:r>
      <w:r>
        <w:rPr>
          <w:rFonts w:hint="eastAsia" w:ascii="仿宋_GB2312" w:hAnsi="华文细黑" w:eastAsia="仿宋_GB2312"/>
          <w:sz w:val="24"/>
        </w:rPr>
        <w:t>6.5.1内部信息报告</w:t>
      </w:r>
      <w:r>
        <w:rPr>
          <w:sz w:val="24"/>
        </w:rPr>
        <w:tab/>
      </w:r>
      <w:r>
        <w:rPr>
          <w:sz w:val="24"/>
        </w:rPr>
        <w:fldChar w:fldCharType="begin"/>
      </w:r>
      <w:r>
        <w:rPr>
          <w:sz w:val="24"/>
        </w:rPr>
        <w:instrText xml:space="preserve"> PAGEREF _Toc9996 </w:instrText>
      </w:r>
      <w:r>
        <w:rPr>
          <w:sz w:val="24"/>
        </w:rPr>
        <w:fldChar w:fldCharType="separate"/>
      </w:r>
      <w:r>
        <w:rPr>
          <w:sz w:val="24"/>
        </w:rPr>
        <w:t>57</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"_Toc18099" </w:instrText>
      </w:r>
      <w:r>
        <w:fldChar w:fldCharType="separate"/>
      </w:r>
      <w:r>
        <w:rPr>
          <w:rFonts w:hint="eastAsia" w:ascii="仿宋_GB2312" w:hAnsi="华文细黑" w:eastAsia="仿宋_GB2312"/>
          <w:sz w:val="24"/>
        </w:rPr>
        <w:t>6.5.2外部信息报告</w:t>
      </w:r>
      <w:r>
        <w:rPr>
          <w:sz w:val="24"/>
        </w:rPr>
        <w:tab/>
      </w:r>
      <w:r>
        <w:rPr>
          <w:sz w:val="24"/>
        </w:rPr>
        <w:fldChar w:fldCharType="begin"/>
      </w:r>
      <w:r>
        <w:rPr>
          <w:sz w:val="24"/>
        </w:rPr>
        <w:instrText xml:space="preserve"> PAGEREF _Toc18099 </w:instrText>
      </w:r>
      <w:r>
        <w:rPr>
          <w:sz w:val="24"/>
        </w:rPr>
        <w:fldChar w:fldCharType="separate"/>
      </w:r>
      <w:r>
        <w:rPr>
          <w:sz w:val="24"/>
        </w:rPr>
        <w:t>58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"_Toc2375" </w:instrText>
      </w:r>
      <w:r>
        <w:fldChar w:fldCharType="separate"/>
      </w:r>
      <w:r>
        <w:rPr>
          <w:rFonts w:hint="eastAsia" w:ascii="仿宋_GB2312" w:hAnsi="华文细黑" w:eastAsia="仿宋_GB2312"/>
          <w:sz w:val="24"/>
        </w:rPr>
        <w:t>6.6 应急终止</w:t>
      </w:r>
      <w:r>
        <w:rPr>
          <w:sz w:val="24"/>
        </w:rPr>
        <w:tab/>
      </w:r>
      <w:r>
        <w:rPr>
          <w:sz w:val="24"/>
        </w:rPr>
        <w:fldChar w:fldCharType="begin"/>
      </w:r>
      <w:r>
        <w:rPr>
          <w:sz w:val="24"/>
        </w:rPr>
        <w:instrText xml:space="preserve"> PAGEREF _Toc2375 </w:instrText>
      </w:r>
      <w:r>
        <w:rPr>
          <w:sz w:val="24"/>
        </w:rPr>
        <w:fldChar w:fldCharType="separate"/>
      </w:r>
      <w:r>
        <w:rPr>
          <w:sz w:val="24"/>
        </w:rPr>
        <w:t>59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"_Toc32673" </w:instrText>
      </w:r>
      <w:r>
        <w:fldChar w:fldCharType="separate"/>
      </w:r>
      <w:r>
        <w:rPr>
          <w:rFonts w:hint="eastAsia" w:ascii="仿宋_GB2312" w:hAnsi="华文细黑" w:eastAsia="仿宋_GB2312"/>
          <w:sz w:val="24"/>
        </w:rPr>
        <w:t>6.6.1 应急终止条件</w:t>
      </w:r>
      <w:r>
        <w:rPr>
          <w:sz w:val="24"/>
        </w:rPr>
        <w:tab/>
      </w:r>
      <w:r>
        <w:rPr>
          <w:sz w:val="24"/>
        </w:rPr>
        <w:fldChar w:fldCharType="begin"/>
      </w:r>
      <w:r>
        <w:rPr>
          <w:sz w:val="24"/>
        </w:rPr>
        <w:instrText xml:space="preserve"> PAGEREF _Toc32673 </w:instrText>
      </w:r>
      <w:r>
        <w:rPr>
          <w:sz w:val="24"/>
        </w:rPr>
        <w:fldChar w:fldCharType="separate"/>
      </w:r>
      <w:r>
        <w:rPr>
          <w:sz w:val="24"/>
        </w:rPr>
        <w:t>59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"_Toc14915" </w:instrText>
      </w:r>
      <w:r>
        <w:fldChar w:fldCharType="separate"/>
      </w:r>
      <w:r>
        <w:rPr>
          <w:rFonts w:hint="eastAsia" w:ascii="仿宋_GB2312" w:hAnsi="华文细黑" w:eastAsia="仿宋_GB2312"/>
          <w:sz w:val="24"/>
        </w:rPr>
        <w:t>6.6.2 应急终止程序</w:t>
      </w:r>
      <w:r>
        <w:rPr>
          <w:sz w:val="24"/>
        </w:rPr>
        <w:tab/>
      </w:r>
      <w:r>
        <w:rPr>
          <w:sz w:val="24"/>
        </w:rPr>
        <w:fldChar w:fldCharType="begin"/>
      </w:r>
      <w:r>
        <w:rPr>
          <w:sz w:val="24"/>
        </w:rPr>
        <w:instrText xml:space="preserve"> PAGEREF _Toc14915 </w:instrText>
      </w:r>
      <w:r>
        <w:rPr>
          <w:sz w:val="24"/>
        </w:rPr>
        <w:fldChar w:fldCharType="separate"/>
      </w:r>
      <w:r>
        <w:rPr>
          <w:sz w:val="24"/>
        </w:rPr>
        <w:t>59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"_Toc27005" </w:instrText>
      </w:r>
      <w:r>
        <w:fldChar w:fldCharType="separate"/>
      </w:r>
      <w:r>
        <w:rPr>
          <w:rFonts w:hint="eastAsia" w:ascii="仿宋_GB2312" w:hAnsi="华文细黑" w:eastAsia="仿宋_GB2312"/>
          <w:sz w:val="24"/>
        </w:rPr>
        <w:t>6.6.3应急终止后的行动</w:t>
      </w:r>
      <w:r>
        <w:rPr>
          <w:sz w:val="24"/>
        </w:rPr>
        <w:tab/>
      </w:r>
      <w:r>
        <w:rPr>
          <w:sz w:val="24"/>
        </w:rPr>
        <w:fldChar w:fldCharType="begin"/>
      </w:r>
      <w:r>
        <w:rPr>
          <w:sz w:val="24"/>
        </w:rPr>
        <w:instrText xml:space="preserve"> PAGEREF _Toc27005 </w:instrText>
      </w:r>
      <w:r>
        <w:rPr>
          <w:sz w:val="24"/>
        </w:rPr>
        <w:fldChar w:fldCharType="separate"/>
      </w:r>
      <w:r>
        <w:rPr>
          <w:sz w:val="24"/>
        </w:rPr>
        <w:t>59</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"_Toc21985" </w:instrText>
      </w:r>
      <w:r>
        <w:fldChar w:fldCharType="separate"/>
      </w:r>
      <w:r>
        <w:rPr>
          <w:rFonts w:hint="eastAsia"/>
          <w:sz w:val="24"/>
          <w:szCs w:val="24"/>
        </w:rPr>
        <w:t>7后期处置</w:t>
      </w:r>
      <w:r>
        <w:rPr>
          <w:sz w:val="24"/>
          <w:szCs w:val="24"/>
        </w:rPr>
        <w:tab/>
      </w:r>
      <w:r>
        <w:rPr>
          <w:sz w:val="24"/>
          <w:szCs w:val="24"/>
        </w:rPr>
        <w:fldChar w:fldCharType="begin"/>
      </w:r>
      <w:r>
        <w:rPr>
          <w:sz w:val="24"/>
          <w:szCs w:val="24"/>
        </w:rPr>
        <w:instrText xml:space="preserve"> PAGEREF _Toc21985 </w:instrText>
      </w:r>
      <w:r>
        <w:rPr>
          <w:sz w:val="24"/>
          <w:szCs w:val="24"/>
        </w:rPr>
        <w:fldChar w:fldCharType="separate"/>
      </w:r>
      <w:r>
        <w:rPr>
          <w:sz w:val="24"/>
          <w:szCs w:val="24"/>
        </w:rPr>
        <w:t>61</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"_Toc7213" </w:instrText>
      </w:r>
      <w:r>
        <w:fldChar w:fldCharType="separate"/>
      </w:r>
      <w:r>
        <w:rPr>
          <w:rFonts w:hint="eastAsia" w:ascii="仿宋_GB2312" w:hAnsi="华文细黑" w:eastAsia="仿宋_GB2312"/>
          <w:sz w:val="24"/>
        </w:rPr>
        <w:t>7.1善后处置</w:t>
      </w:r>
      <w:r>
        <w:rPr>
          <w:sz w:val="24"/>
        </w:rPr>
        <w:tab/>
      </w:r>
      <w:r>
        <w:rPr>
          <w:sz w:val="24"/>
        </w:rPr>
        <w:fldChar w:fldCharType="begin"/>
      </w:r>
      <w:r>
        <w:rPr>
          <w:sz w:val="24"/>
        </w:rPr>
        <w:instrText xml:space="preserve"> PAGEREF _Toc7213 </w:instrText>
      </w:r>
      <w:r>
        <w:rPr>
          <w:sz w:val="24"/>
        </w:rPr>
        <w:fldChar w:fldCharType="separate"/>
      </w:r>
      <w:r>
        <w:rPr>
          <w:sz w:val="24"/>
        </w:rPr>
        <w:t>61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"_Toc31186" </w:instrText>
      </w:r>
      <w:r>
        <w:fldChar w:fldCharType="separate"/>
      </w:r>
      <w:r>
        <w:rPr>
          <w:rFonts w:hint="eastAsia" w:ascii="仿宋_GB2312" w:hAnsi="华文细黑" w:eastAsia="仿宋_GB2312"/>
          <w:sz w:val="24"/>
        </w:rPr>
        <w:t>7.1.1善后处置措施</w:t>
      </w:r>
      <w:r>
        <w:rPr>
          <w:sz w:val="24"/>
        </w:rPr>
        <w:tab/>
      </w:r>
      <w:r>
        <w:rPr>
          <w:sz w:val="24"/>
        </w:rPr>
        <w:fldChar w:fldCharType="begin"/>
      </w:r>
      <w:r>
        <w:rPr>
          <w:sz w:val="24"/>
        </w:rPr>
        <w:instrText xml:space="preserve"> PAGEREF _Toc31186 </w:instrText>
      </w:r>
      <w:r>
        <w:rPr>
          <w:sz w:val="24"/>
        </w:rPr>
        <w:fldChar w:fldCharType="separate"/>
      </w:r>
      <w:r>
        <w:rPr>
          <w:sz w:val="24"/>
        </w:rPr>
        <w:t>61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"_Toc5754" </w:instrText>
      </w:r>
      <w:r>
        <w:fldChar w:fldCharType="separate"/>
      </w:r>
      <w:r>
        <w:rPr>
          <w:rFonts w:hint="eastAsia" w:ascii="仿宋_GB2312" w:hAnsi="华文细黑" w:eastAsia="仿宋_GB2312"/>
          <w:sz w:val="24"/>
        </w:rPr>
        <w:t>7.1.2 污染物处理</w:t>
      </w:r>
      <w:r>
        <w:rPr>
          <w:sz w:val="24"/>
        </w:rPr>
        <w:tab/>
      </w:r>
      <w:r>
        <w:rPr>
          <w:sz w:val="24"/>
        </w:rPr>
        <w:fldChar w:fldCharType="begin"/>
      </w:r>
      <w:r>
        <w:rPr>
          <w:sz w:val="24"/>
        </w:rPr>
        <w:instrText xml:space="preserve"> PAGEREF _Toc5754 </w:instrText>
      </w:r>
      <w:r>
        <w:rPr>
          <w:sz w:val="24"/>
        </w:rPr>
        <w:fldChar w:fldCharType="separate"/>
      </w:r>
      <w:r>
        <w:rPr>
          <w:sz w:val="24"/>
        </w:rPr>
        <w:t>61</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"_Toc2603" </w:instrText>
      </w:r>
      <w:r>
        <w:fldChar w:fldCharType="separate"/>
      </w:r>
      <w:r>
        <w:rPr>
          <w:rFonts w:hint="eastAsia" w:ascii="仿宋_GB2312" w:hAnsi="华文细黑" w:eastAsia="仿宋_GB2312"/>
          <w:sz w:val="24"/>
        </w:rPr>
        <w:t>7.1.3恢复重建</w:t>
      </w:r>
      <w:r>
        <w:rPr>
          <w:sz w:val="24"/>
        </w:rPr>
        <w:tab/>
      </w:r>
      <w:r>
        <w:rPr>
          <w:sz w:val="24"/>
        </w:rPr>
        <w:fldChar w:fldCharType="begin"/>
      </w:r>
      <w:r>
        <w:rPr>
          <w:sz w:val="24"/>
        </w:rPr>
        <w:instrText xml:space="preserve"> PAGEREF _Toc2603 </w:instrText>
      </w:r>
      <w:r>
        <w:rPr>
          <w:sz w:val="24"/>
        </w:rPr>
        <w:fldChar w:fldCharType="separate"/>
      </w:r>
      <w:r>
        <w:rPr>
          <w:sz w:val="24"/>
        </w:rPr>
        <w:t>61</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"_Toc21197" </w:instrText>
      </w:r>
      <w:r>
        <w:fldChar w:fldCharType="separate"/>
      </w:r>
      <w:r>
        <w:rPr>
          <w:rFonts w:hint="eastAsia" w:ascii="仿宋_GB2312" w:hAnsi="华文细黑" w:eastAsia="仿宋_GB2312"/>
          <w:sz w:val="24"/>
        </w:rPr>
        <w:t>7.2调查与评估</w:t>
      </w:r>
      <w:r>
        <w:rPr>
          <w:sz w:val="24"/>
        </w:rPr>
        <w:tab/>
      </w:r>
      <w:r>
        <w:rPr>
          <w:sz w:val="24"/>
        </w:rPr>
        <w:fldChar w:fldCharType="begin"/>
      </w:r>
      <w:r>
        <w:rPr>
          <w:sz w:val="24"/>
        </w:rPr>
        <w:instrText xml:space="preserve"> PAGEREF _Toc21197 </w:instrText>
      </w:r>
      <w:r>
        <w:rPr>
          <w:sz w:val="24"/>
        </w:rPr>
        <w:fldChar w:fldCharType="separate"/>
      </w:r>
      <w:r>
        <w:rPr>
          <w:sz w:val="24"/>
        </w:rPr>
        <w:t>61</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"_Toc19380" </w:instrText>
      </w:r>
      <w:r>
        <w:fldChar w:fldCharType="separate"/>
      </w:r>
      <w:r>
        <w:rPr>
          <w:rFonts w:hint="eastAsia" w:ascii="仿宋_GB2312" w:hAnsi="华文细黑" w:eastAsia="仿宋_GB2312"/>
          <w:sz w:val="24"/>
        </w:rPr>
        <w:t>7.3保险</w:t>
      </w:r>
      <w:r>
        <w:rPr>
          <w:sz w:val="24"/>
        </w:rPr>
        <w:tab/>
      </w:r>
      <w:r>
        <w:rPr>
          <w:sz w:val="24"/>
        </w:rPr>
        <w:fldChar w:fldCharType="begin"/>
      </w:r>
      <w:r>
        <w:rPr>
          <w:sz w:val="24"/>
        </w:rPr>
        <w:instrText xml:space="preserve"> PAGEREF _Toc19380 </w:instrText>
      </w:r>
      <w:r>
        <w:rPr>
          <w:sz w:val="24"/>
        </w:rPr>
        <w:fldChar w:fldCharType="separate"/>
      </w:r>
      <w:r>
        <w:rPr>
          <w:sz w:val="24"/>
        </w:rPr>
        <w:t>62</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"_Toc28365" </w:instrText>
      </w:r>
      <w:r>
        <w:fldChar w:fldCharType="separate"/>
      </w:r>
      <w:r>
        <w:rPr>
          <w:rFonts w:hint="eastAsia"/>
          <w:sz w:val="24"/>
          <w:szCs w:val="24"/>
        </w:rPr>
        <w:t>8应急保障</w:t>
      </w:r>
      <w:r>
        <w:rPr>
          <w:sz w:val="24"/>
          <w:szCs w:val="24"/>
        </w:rPr>
        <w:tab/>
      </w:r>
      <w:r>
        <w:rPr>
          <w:sz w:val="24"/>
          <w:szCs w:val="24"/>
        </w:rPr>
        <w:fldChar w:fldCharType="begin"/>
      </w:r>
      <w:r>
        <w:rPr>
          <w:sz w:val="24"/>
          <w:szCs w:val="24"/>
        </w:rPr>
        <w:instrText xml:space="preserve"> PAGEREF _Toc28365 </w:instrText>
      </w:r>
      <w:r>
        <w:rPr>
          <w:sz w:val="24"/>
          <w:szCs w:val="24"/>
        </w:rPr>
        <w:fldChar w:fldCharType="separate"/>
      </w:r>
      <w:r>
        <w:rPr>
          <w:sz w:val="24"/>
          <w:szCs w:val="24"/>
        </w:rPr>
        <w:t>63</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"_Toc2443" </w:instrText>
      </w:r>
      <w:r>
        <w:fldChar w:fldCharType="separate"/>
      </w:r>
      <w:r>
        <w:rPr>
          <w:rFonts w:hint="eastAsia" w:ascii="仿宋_GB2312" w:hAnsi="华文细黑" w:eastAsia="仿宋_GB2312"/>
          <w:sz w:val="24"/>
        </w:rPr>
        <w:t>8.1经费保障</w:t>
      </w:r>
      <w:r>
        <w:rPr>
          <w:sz w:val="24"/>
        </w:rPr>
        <w:tab/>
      </w:r>
      <w:r>
        <w:rPr>
          <w:sz w:val="24"/>
        </w:rPr>
        <w:fldChar w:fldCharType="begin"/>
      </w:r>
      <w:r>
        <w:rPr>
          <w:sz w:val="24"/>
        </w:rPr>
        <w:instrText xml:space="preserve"> PAGEREF _Toc2443 </w:instrText>
      </w:r>
      <w:r>
        <w:rPr>
          <w:sz w:val="24"/>
        </w:rPr>
        <w:fldChar w:fldCharType="separate"/>
      </w:r>
      <w:r>
        <w:rPr>
          <w:sz w:val="24"/>
        </w:rPr>
        <w:t>63</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"_Toc25826" </w:instrText>
      </w:r>
      <w:r>
        <w:fldChar w:fldCharType="separate"/>
      </w:r>
      <w:r>
        <w:rPr>
          <w:rFonts w:hint="eastAsia" w:ascii="仿宋_GB2312" w:hAnsi="华文细黑" w:eastAsia="仿宋_GB2312"/>
          <w:sz w:val="24"/>
        </w:rPr>
        <w:t>8.2应急物资装备保障</w:t>
      </w:r>
      <w:r>
        <w:rPr>
          <w:sz w:val="24"/>
        </w:rPr>
        <w:tab/>
      </w:r>
      <w:r>
        <w:rPr>
          <w:sz w:val="24"/>
        </w:rPr>
        <w:fldChar w:fldCharType="begin"/>
      </w:r>
      <w:r>
        <w:rPr>
          <w:sz w:val="24"/>
        </w:rPr>
        <w:instrText xml:space="preserve"> PAGEREF _Toc25826 </w:instrText>
      </w:r>
      <w:r>
        <w:rPr>
          <w:sz w:val="24"/>
        </w:rPr>
        <w:fldChar w:fldCharType="separate"/>
      </w:r>
      <w:r>
        <w:rPr>
          <w:sz w:val="24"/>
        </w:rPr>
        <w:t>63</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"_Toc26906" </w:instrText>
      </w:r>
      <w:r>
        <w:fldChar w:fldCharType="separate"/>
      </w:r>
      <w:r>
        <w:rPr>
          <w:rFonts w:hint="eastAsia" w:ascii="仿宋_GB2312" w:hAnsi="华文细黑" w:eastAsia="仿宋_GB2312"/>
          <w:sz w:val="24"/>
        </w:rPr>
        <w:t>8.3应急队伍保障</w:t>
      </w:r>
      <w:r>
        <w:rPr>
          <w:sz w:val="24"/>
        </w:rPr>
        <w:tab/>
      </w:r>
      <w:r>
        <w:rPr>
          <w:sz w:val="24"/>
        </w:rPr>
        <w:fldChar w:fldCharType="begin"/>
      </w:r>
      <w:r>
        <w:rPr>
          <w:sz w:val="24"/>
        </w:rPr>
        <w:instrText xml:space="preserve"> PAGEREF _Toc26906 </w:instrText>
      </w:r>
      <w:r>
        <w:rPr>
          <w:sz w:val="24"/>
        </w:rPr>
        <w:fldChar w:fldCharType="separate"/>
      </w:r>
      <w:r>
        <w:rPr>
          <w:sz w:val="24"/>
        </w:rPr>
        <w:t>63</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"_Toc3822" </w:instrText>
      </w:r>
      <w:r>
        <w:fldChar w:fldCharType="separate"/>
      </w:r>
      <w:r>
        <w:rPr>
          <w:rFonts w:hint="eastAsia" w:ascii="仿宋_GB2312" w:hAnsi="华文细黑" w:eastAsia="仿宋_GB2312"/>
          <w:sz w:val="24"/>
        </w:rPr>
        <w:t>8.4通信与信息保障措施</w:t>
      </w:r>
      <w:r>
        <w:rPr>
          <w:sz w:val="24"/>
        </w:rPr>
        <w:tab/>
      </w:r>
      <w:r>
        <w:rPr>
          <w:sz w:val="24"/>
        </w:rPr>
        <w:fldChar w:fldCharType="begin"/>
      </w:r>
      <w:r>
        <w:rPr>
          <w:sz w:val="24"/>
        </w:rPr>
        <w:instrText xml:space="preserve"> PAGEREF _Toc3822 </w:instrText>
      </w:r>
      <w:r>
        <w:rPr>
          <w:sz w:val="24"/>
        </w:rPr>
        <w:fldChar w:fldCharType="separate"/>
      </w:r>
      <w:r>
        <w:rPr>
          <w:sz w:val="24"/>
        </w:rPr>
        <w:t>63</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"_Toc26218" </w:instrText>
      </w:r>
      <w:r>
        <w:fldChar w:fldCharType="separate"/>
      </w:r>
      <w:r>
        <w:rPr>
          <w:rFonts w:hint="eastAsia" w:ascii="仿宋_GB2312" w:hAnsi="华文细黑" w:eastAsia="仿宋_GB2312"/>
          <w:sz w:val="24"/>
        </w:rPr>
        <w:t>8.5医疗卫生保障</w:t>
      </w:r>
      <w:r>
        <w:rPr>
          <w:sz w:val="24"/>
        </w:rPr>
        <w:tab/>
      </w:r>
      <w:r>
        <w:rPr>
          <w:sz w:val="24"/>
        </w:rPr>
        <w:fldChar w:fldCharType="begin"/>
      </w:r>
      <w:r>
        <w:rPr>
          <w:sz w:val="24"/>
        </w:rPr>
        <w:instrText xml:space="preserve"> PAGEREF _Toc26218 </w:instrText>
      </w:r>
      <w:r>
        <w:rPr>
          <w:sz w:val="24"/>
        </w:rPr>
        <w:fldChar w:fldCharType="separate"/>
      </w:r>
      <w:r>
        <w:rPr>
          <w:sz w:val="24"/>
        </w:rPr>
        <w:t>64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"_Toc9151" </w:instrText>
      </w:r>
      <w:r>
        <w:fldChar w:fldCharType="separate"/>
      </w:r>
      <w:r>
        <w:rPr>
          <w:rFonts w:hint="eastAsia" w:ascii="仿宋_GB2312" w:hAnsi="华文细黑" w:eastAsia="仿宋_GB2312"/>
          <w:sz w:val="24"/>
        </w:rPr>
        <w:t>8.6交通运输保障</w:t>
      </w:r>
      <w:r>
        <w:rPr>
          <w:sz w:val="24"/>
        </w:rPr>
        <w:tab/>
      </w:r>
      <w:r>
        <w:rPr>
          <w:sz w:val="24"/>
        </w:rPr>
        <w:fldChar w:fldCharType="begin"/>
      </w:r>
      <w:r>
        <w:rPr>
          <w:sz w:val="24"/>
        </w:rPr>
        <w:instrText xml:space="preserve"> PAGEREF _Toc9151 </w:instrText>
      </w:r>
      <w:r>
        <w:rPr>
          <w:sz w:val="24"/>
        </w:rPr>
        <w:fldChar w:fldCharType="separate"/>
      </w:r>
      <w:r>
        <w:rPr>
          <w:sz w:val="24"/>
        </w:rPr>
        <w:t>64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"_Toc1109" </w:instrText>
      </w:r>
      <w:r>
        <w:fldChar w:fldCharType="separate"/>
      </w:r>
      <w:r>
        <w:rPr>
          <w:rFonts w:hint="eastAsia" w:ascii="仿宋_GB2312" w:hAnsi="华文细黑" w:eastAsia="仿宋_GB2312"/>
          <w:sz w:val="24"/>
        </w:rPr>
        <w:t>8.7治安保障</w:t>
      </w:r>
      <w:r>
        <w:rPr>
          <w:sz w:val="24"/>
        </w:rPr>
        <w:tab/>
      </w:r>
      <w:r>
        <w:rPr>
          <w:sz w:val="24"/>
        </w:rPr>
        <w:fldChar w:fldCharType="begin"/>
      </w:r>
      <w:r>
        <w:rPr>
          <w:sz w:val="24"/>
        </w:rPr>
        <w:instrText xml:space="preserve"> PAGEREF _Toc1109 </w:instrText>
      </w:r>
      <w:r>
        <w:rPr>
          <w:sz w:val="24"/>
        </w:rPr>
        <w:fldChar w:fldCharType="separate"/>
      </w:r>
      <w:r>
        <w:rPr>
          <w:sz w:val="24"/>
        </w:rPr>
        <w:t>64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"_Toc11517" </w:instrText>
      </w:r>
      <w:r>
        <w:fldChar w:fldCharType="separate"/>
      </w:r>
      <w:r>
        <w:rPr>
          <w:rFonts w:hint="eastAsia" w:ascii="仿宋_GB2312" w:hAnsi="华文细黑" w:eastAsia="仿宋_GB2312"/>
          <w:sz w:val="24"/>
        </w:rPr>
        <w:t>8.8技术储备与保障</w:t>
      </w:r>
      <w:r>
        <w:rPr>
          <w:sz w:val="24"/>
        </w:rPr>
        <w:tab/>
      </w:r>
      <w:r>
        <w:rPr>
          <w:sz w:val="24"/>
        </w:rPr>
        <w:fldChar w:fldCharType="begin"/>
      </w:r>
      <w:r>
        <w:rPr>
          <w:sz w:val="24"/>
        </w:rPr>
        <w:instrText xml:space="preserve"> PAGEREF _Toc11517 </w:instrText>
      </w:r>
      <w:r>
        <w:rPr>
          <w:sz w:val="24"/>
        </w:rPr>
        <w:fldChar w:fldCharType="separate"/>
      </w:r>
      <w:r>
        <w:rPr>
          <w:sz w:val="24"/>
        </w:rPr>
        <w:t>64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"_Toc22327" </w:instrText>
      </w:r>
      <w:r>
        <w:fldChar w:fldCharType="separate"/>
      </w:r>
      <w:r>
        <w:rPr>
          <w:rFonts w:hint="eastAsia" w:ascii="仿宋_GB2312" w:hAnsi="华文细黑" w:eastAsia="仿宋_GB2312"/>
          <w:sz w:val="24"/>
        </w:rPr>
        <w:t>8.9外部救援保障</w:t>
      </w:r>
      <w:r>
        <w:rPr>
          <w:sz w:val="24"/>
        </w:rPr>
        <w:tab/>
      </w:r>
      <w:r>
        <w:rPr>
          <w:sz w:val="24"/>
        </w:rPr>
        <w:fldChar w:fldCharType="begin"/>
      </w:r>
      <w:r>
        <w:rPr>
          <w:sz w:val="24"/>
        </w:rPr>
        <w:instrText xml:space="preserve"> PAGEREF _Toc22327 </w:instrText>
      </w:r>
      <w:r>
        <w:rPr>
          <w:sz w:val="24"/>
        </w:rPr>
        <w:fldChar w:fldCharType="separate"/>
      </w:r>
      <w:r>
        <w:rPr>
          <w:sz w:val="24"/>
        </w:rPr>
        <w:t>64</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"_Toc8614" </w:instrText>
      </w:r>
      <w:r>
        <w:fldChar w:fldCharType="separate"/>
      </w:r>
      <w:r>
        <w:rPr>
          <w:rFonts w:hint="eastAsia" w:ascii="仿宋_GB2312" w:hAnsi="华文细黑" w:eastAsia="仿宋_GB2312"/>
          <w:sz w:val="24"/>
        </w:rPr>
        <w:t>8.10后勤保障</w:t>
      </w:r>
      <w:r>
        <w:rPr>
          <w:sz w:val="24"/>
        </w:rPr>
        <w:tab/>
      </w:r>
      <w:r>
        <w:rPr>
          <w:sz w:val="24"/>
        </w:rPr>
        <w:fldChar w:fldCharType="begin"/>
      </w:r>
      <w:r>
        <w:rPr>
          <w:sz w:val="24"/>
        </w:rPr>
        <w:instrText xml:space="preserve"> PAGEREF _Toc8614 </w:instrText>
      </w:r>
      <w:r>
        <w:rPr>
          <w:sz w:val="24"/>
        </w:rPr>
        <w:fldChar w:fldCharType="separate"/>
      </w:r>
      <w:r>
        <w:rPr>
          <w:sz w:val="24"/>
        </w:rPr>
        <w:t>64</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"_Toc1527" </w:instrText>
      </w:r>
      <w:r>
        <w:fldChar w:fldCharType="separate"/>
      </w:r>
      <w:r>
        <w:rPr>
          <w:rFonts w:hint="eastAsia"/>
          <w:sz w:val="24"/>
          <w:szCs w:val="24"/>
        </w:rPr>
        <w:t>9监督管理</w:t>
      </w:r>
      <w:r>
        <w:rPr>
          <w:sz w:val="24"/>
          <w:szCs w:val="24"/>
        </w:rPr>
        <w:tab/>
      </w:r>
      <w:r>
        <w:rPr>
          <w:sz w:val="24"/>
          <w:szCs w:val="24"/>
        </w:rPr>
        <w:fldChar w:fldCharType="begin"/>
      </w:r>
      <w:r>
        <w:rPr>
          <w:sz w:val="24"/>
          <w:szCs w:val="24"/>
        </w:rPr>
        <w:instrText xml:space="preserve"> PAGEREF _Toc1527 </w:instrText>
      </w:r>
      <w:r>
        <w:rPr>
          <w:sz w:val="24"/>
          <w:szCs w:val="24"/>
        </w:rPr>
        <w:fldChar w:fldCharType="separate"/>
      </w:r>
      <w:r>
        <w:rPr>
          <w:sz w:val="24"/>
          <w:szCs w:val="24"/>
        </w:rPr>
        <w:t>65</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"_Toc29015" </w:instrText>
      </w:r>
      <w:r>
        <w:fldChar w:fldCharType="separate"/>
      </w:r>
      <w:r>
        <w:rPr>
          <w:rFonts w:hint="eastAsia" w:ascii="仿宋_GB2312" w:hAnsi="华文细黑" w:eastAsia="仿宋_GB2312"/>
          <w:sz w:val="24"/>
        </w:rPr>
        <w:t>9.1培训与演练</w:t>
      </w:r>
      <w:r>
        <w:rPr>
          <w:sz w:val="24"/>
        </w:rPr>
        <w:tab/>
      </w:r>
      <w:r>
        <w:rPr>
          <w:sz w:val="24"/>
        </w:rPr>
        <w:fldChar w:fldCharType="begin"/>
      </w:r>
      <w:r>
        <w:rPr>
          <w:sz w:val="24"/>
        </w:rPr>
        <w:instrText xml:space="preserve"> PAGEREF _Toc29015 </w:instrText>
      </w:r>
      <w:r>
        <w:rPr>
          <w:sz w:val="24"/>
        </w:rPr>
        <w:fldChar w:fldCharType="separate"/>
      </w:r>
      <w:r>
        <w:rPr>
          <w:sz w:val="24"/>
        </w:rPr>
        <w:t>65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"_Toc31918" </w:instrText>
      </w:r>
      <w:r>
        <w:fldChar w:fldCharType="separate"/>
      </w:r>
      <w:r>
        <w:rPr>
          <w:rFonts w:hint="eastAsia" w:ascii="仿宋_GB2312" w:hAnsi="华文细黑" w:eastAsia="仿宋_GB2312"/>
          <w:sz w:val="24"/>
        </w:rPr>
        <w:t>9.1.1应急培训</w:t>
      </w:r>
      <w:r>
        <w:rPr>
          <w:sz w:val="24"/>
        </w:rPr>
        <w:tab/>
      </w:r>
      <w:r>
        <w:rPr>
          <w:sz w:val="24"/>
        </w:rPr>
        <w:fldChar w:fldCharType="begin"/>
      </w:r>
      <w:r>
        <w:rPr>
          <w:sz w:val="24"/>
        </w:rPr>
        <w:instrText xml:space="preserve"> PAGEREF _Toc31918 </w:instrText>
      </w:r>
      <w:r>
        <w:rPr>
          <w:sz w:val="24"/>
        </w:rPr>
        <w:fldChar w:fldCharType="separate"/>
      </w:r>
      <w:r>
        <w:rPr>
          <w:sz w:val="24"/>
        </w:rPr>
        <w:t>65</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"_Toc28404" </w:instrText>
      </w:r>
      <w:r>
        <w:fldChar w:fldCharType="separate"/>
      </w:r>
      <w:r>
        <w:rPr>
          <w:rFonts w:hint="eastAsia" w:ascii="仿宋_GB2312" w:hAnsi="华文细黑" w:eastAsia="仿宋_GB2312"/>
          <w:sz w:val="24"/>
        </w:rPr>
        <w:t>9.1.2应急演练</w:t>
      </w:r>
      <w:r>
        <w:rPr>
          <w:sz w:val="24"/>
        </w:rPr>
        <w:tab/>
      </w:r>
      <w:r>
        <w:rPr>
          <w:sz w:val="24"/>
        </w:rPr>
        <w:fldChar w:fldCharType="begin"/>
      </w:r>
      <w:r>
        <w:rPr>
          <w:sz w:val="24"/>
        </w:rPr>
        <w:instrText xml:space="preserve"> PAGEREF _Toc28404 </w:instrText>
      </w:r>
      <w:r>
        <w:rPr>
          <w:sz w:val="24"/>
        </w:rPr>
        <w:fldChar w:fldCharType="separate"/>
      </w:r>
      <w:r>
        <w:rPr>
          <w:sz w:val="24"/>
        </w:rPr>
        <w:t>66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"_Toc9525" </w:instrText>
      </w:r>
      <w:r>
        <w:fldChar w:fldCharType="separate"/>
      </w:r>
      <w:r>
        <w:rPr>
          <w:rFonts w:hint="eastAsia" w:ascii="仿宋_GB2312" w:hAnsi="华文细黑" w:eastAsia="仿宋_GB2312"/>
          <w:sz w:val="24"/>
        </w:rPr>
        <w:t>9.2奖励与责任追究</w:t>
      </w:r>
      <w:r>
        <w:rPr>
          <w:sz w:val="24"/>
        </w:rPr>
        <w:tab/>
      </w:r>
      <w:r>
        <w:rPr>
          <w:sz w:val="24"/>
        </w:rPr>
        <w:fldChar w:fldCharType="begin"/>
      </w:r>
      <w:r>
        <w:rPr>
          <w:sz w:val="24"/>
        </w:rPr>
        <w:instrText xml:space="preserve"> PAGEREF _Toc9525 </w:instrText>
      </w:r>
      <w:r>
        <w:rPr>
          <w:sz w:val="24"/>
        </w:rPr>
        <w:fldChar w:fldCharType="separate"/>
      </w:r>
      <w:r>
        <w:rPr>
          <w:sz w:val="24"/>
        </w:rPr>
        <w:t>66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"_Toc15720" </w:instrText>
      </w:r>
      <w:r>
        <w:fldChar w:fldCharType="separate"/>
      </w:r>
      <w:r>
        <w:rPr>
          <w:rFonts w:hint="eastAsia" w:ascii="仿宋_GB2312" w:hAnsi="华文细黑" w:eastAsia="仿宋_GB2312"/>
          <w:sz w:val="24"/>
        </w:rPr>
        <w:t>9.2.1奖励</w:t>
      </w:r>
      <w:r>
        <w:rPr>
          <w:sz w:val="24"/>
        </w:rPr>
        <w:tab/>
      </w:r>
      <w:r>
        <w:rPr>
          <w:sz w:val="24"/>
        </w:rPr>
        <w:fldChar w:fldCharType="begin"/>
      </w:r>
      <w:r>
        <w:rPr>
          <w:sz w:val="24"/>
        </w:rPr>
        <w:instrText xml:space="preserve"> PAGEREF _Toc15720 </w:instrText>
      </w:r>
      <w:r>
        <w:rPr>
          <w:sz w:val="24"/>
        </w:rPr>
        <w:fldChar w:fldCharType="separate"/>
      </w:r>
      <w:r>
        <w:rPr>
          <w:sz w:val="24"/>
        </w:rPr>
        <w:t>66</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"_Toc23898" </w:instrText>
      </w:r>
      <w:r>
        <w:fldChar w:fldCharType="separate"/>
      </w:r>
      <w:r>
        <w:rPr>
          <w:rFonts w:hint="eastAsia" w:ascii="仿宋_GB2312" w:hAnsi="华文细黑" w:eastAsia="仿宋_GB2312"/>
          <w:sz w:val="24"/>
        </w:rPr>
        <w:t>9.2.2处罚</w:t>
      </w:r>
      <w:r>
        <w:rPr>
          <w:sz w:val="24"/>
        </w:rPr>
        <w:tab/>
      </w:r>
      <w:r>
        <w:rPr>
          <w:sz w:val="24"/>
        </w:rPr>
        <w:fldChar w:fldCharType="begin"/>
      </w:r>
      <w:r>
        <w:rPr>
          <w:sz w:val="24"/>
        </w:rPr>
        <w:instrText xml:space="preserve"> PAGEREF _Toc23898 </w:instrText>
      </w:r>
      <w:r>
        <w:rPr>
          <w:sz w:val="24"/>
        </w:rPr>
        <w:fldChar w:fldCharType="separate"/>
      </w:r>
      <w:r>
        <w:rPr>
          <w:sz w:val="24"/>
        </w:rPr>
        <w:t>67</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"_Toc14232" </w:instrText>
      </w:r>
      <w:r>
        <w:fldChar w:fldCharType="separate"/>
      </w:r>
      <w:r>
        <w:rPr>
          <w:rFonts w:hint="eastAsia"/>
          <w:sz w:val="24"/>
          <w:szCs w:val="24"/>
        </w:rPr>
        <w:t>10附则</w:t>
      </w:r>
      <w:r>
        <w:rPr>
          <w:sz w:val="24"/>
          <w:szCs w:val="24"/>
        </w:rPr>
        <w:tab/>
      </w:r>
      <w:r>
        <w:rPr>
          <w:sz w:val="24"/>
          <w:szCs w:val="24"/>
        </w:rPr>
        <w:fldChar w:fldCharType="begin"/>
      </w:r>
      <w:r>
        <w:rPr>
          <w:sz w:val="24"/>
          <w:szCs w:val="24"/>
        </w:rPr>
        <w:instrText xml:space="preserve"> PAGEREF _Toc14232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"_Toc24464" </w:instrText>
      </w:r>
      <w:r>
        <w:fldChar w:fldCharType="separate"/>
      </w:r>
      <w:r>
        <w:rPr>
          <w:rFonts w:hint="eastAsia" w:ascii="仿宋_GB2312" w:hAnsi="华文细黑" w:eastAsia="仿宋_GB2312"/>
          <w:sz w:val="24"/>
        </w:rPr>
        <w:t>10.1术语和定义</w:t>
      </w:r>
      <w:r>
        <w:rPr>
          <w:sz w:val="24"/>
        </w:rPr>
        <w:tab/>
      </w:r>
      <w:r>
        <w:rPr>
          <w:sz w:val="24"/>
        </w:rPr>
        <w:fldChar w:fldCharType="begin"/>
      </w:r>
      <w:r>
        <w:rPr>
          <w:sz w:val="24"/>
        </w:rPr>
        <w:instrText xml:space="preserve"> PAGEREF _Toc24464 </w:instrText>
      </w:r>
      <w:r>
        <w:rPr>
          <w:sz w:val="24"/>
        </w:rPr>
        <w:fldChar w:fldCharType="separate"/>
      </w:r>
      <w:r>
        <w:rPr>
          <w:sz w:val="24"/>
        </w:rPr>
        <w:t>68</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"_Toc21696" </w:instrText>
      </w:r>
      <w:r>
        <w:fldChar w:fldCharType="separate"/>
      </w:r>
      <w:r>
        <w:rPr>
          <w:rFonts w:hint="eastAsia" w:ascii="仿宋_GB2312" w:hAnsi="华文细黑" w:eastAsia="仿宋_GB2312"/>
          <w:sz w:val="24"/>
        </w:rPr>
        <w:t>10.2制定与修订</w:t>
      </w:r>
      <w:r>
        <w:rPr>
          <w:sz w:val="24"/>
        </w:rPr>
        <w:tab/>
      </w:r>
      <w:r>
        <w:rPr>
          <w:sz w:val="24"/>
        </w:rPr>
        <w:fldChar w:fldCharType="begin"/>
      </w:r>
      <w:r>
        <w:rPr>
          <w:sz w:val="24"/>
        </w:rPr>
        <w:instrText xml:space="preserve"> PAGEREF _Toc21696 </w:instrText>
      </w:r>
      <w:r>
        <w:rPr>
          <w:sz w:val="24"/>
        </w:rPr>
        <w:fldChar w:fldCharType="separate"/>
      </w:r>
      <w:r>
        <w:rPr>
          <w:sz w:val="24"/>
        </w:rPr>
        <w:t>69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"_Toc14936" </w:instrText>
      </w:r>
      <w:r>
        <w:fldChar w:fldCharType="separate"/>
      </w:r>
      <w:r>
        <w:rPr>
          <w:rFonts w:hint="eastAsia" w:ascii="仿宋_GB2312" w:hAnsi="华文细黑" w:eastAsia="仿宋_GB2312"/>
          <w:sz w:val="24"/>
        </w:rPr>
        <w:t>10.2.1预案的制定</w:t>
      </w:r>
      <w:r>
        <w:rPr>
          <w:sz w:val="24"/>
        </w:rPr>
        <w:tab/>
      </w:r>
      <w:r>
        <w:rPr>
          <w:sz w:val="24"/>
        </w:rPr>
        <w:fldChar w:fldCharType="begin"/>
      </w:r>
      <w:r>
        <w:rPr>
          <w:sz w:val="24"/>
        </w:rPr>
        <w:instrText xml:space="preserve"> PAGEREF _Toc14936 </w:instrText>
      </w:r>
      <w:r>
        <w:rPr>
          <w:sz w:val="24"/>
        </w:rPr>
        <w:fldChar w:fldCharType="separate"/>
      </w:r>
      <w:r>
        <w:rPr>
          <w:sz w:val="24"/>
        </w:rPr>
        <w:t>69</w:t>
      </w:r>
      <w:r>
        <w:rPr>
          <w:sz w:val="24"/>
        </w:rPr>
        <w:fldChar w:fldCharType="end"/>
      </w:r>
      <w:r>
        <w:rPr>
          <w:sz w:val="24"/>
        </w:rPr>
        <w:fldChar w:fldCharType="end"/>
      </w:r>
    </w:p>
    <w:p>
      <w:pPr>
        <w:pStyle w:val="10"/>
        <w:tabs>
          <w:tab w:val="right" w:leader="dot" w:pos="8730"/>
        </w:tabs>
        <w:snapToGrid w:val="0"/>
        <w:spacing w:line="360" w:lineRule="auto"/>
        <w:ind w:left="720"/>
        <w:rPr>
          <w:sz w:val="24"/>
        </w:rPr>
      </w:pPr>
      <w:r>
        <w:fldChar w:fldCharType="begin"/>
      </w:r>
      <w:r>
        <w:instrText xml:space="preserve"> HYPERLINK \l "_Toc21705" </w:instrText>
      </w:r>
      <w:r>
        <w:fldChar w:fldCharType="separate"/>
      </w:r>
      <w:r>
        <w:rPr>
          <w:rFonts w:hint="eastAsia" w:ascii="仿宋_GB2312" w:hAnsi="华文细黑" w:eastAsia="仿宋_GB2312"/>
          <w:sz w:val="24"/>
        </w:rPr>
        <w:t>10.2.2预案的修订</w:t>
      </w:r>
      <w:r>
        <w:rPr>
          <w:sz w:val="24"/>
        </w:rPr>
        <w:tab/>
      </w:r>
      <w:r>
        <w:rPr>
          <w:sz w:val="24"/>
        </w:rPr>
        <w:fldChar w:fldCharType="begin"/>
      </w:r>
      <w:r>
        <w:rPr>
          <w:sz w:val="24"/>
        </w:rPr>
        <w:instrText xml:space="preserve"> PAGEREF _Toc21705 </w:instrText>
      </w:r>
      <w:r>
        <w:rPr>
          <w:sz w:val="24"/>
        </w:rPr>
        <w:fldChar w:fldCharType="separate"/>
      </w:r>
      <w:r>
        <w:rPr>
          <w:sz w:val="24"/>
        </w:rPr>
        <w:t>69</w:t>
      </w:r>
      <w:r>
        <w:rPr>
          <w:sz w:val="24"/>
        </w:rPr>
        <w:fldChar w:fldCharType="end"/>
      </w:r>
      <w:r>
        <w:rPr>
          <w:sz w:val="24"/>
        </w:rPr>
        <w:fldChar w:fldCharType="end"/>
      </w:r>
    </w:p>
    <w:p>
      <w:pPr>
        <w:pStyle w:val="18"/>
        <w:tabs>
          <w:tab w:val="right" w:leader="dot" w:pos="8730"/>
        </w:tabs>
        <w:snapToGrid w:val="0"/>
        <w:spacing w:line="360" w:lineRule="auto"/>
        <w:ind w:left="360"/>
        <w:rPr>
          <w:sz w:val="24"/>
        </w:rPr>
      </w:pPr>
      <w:r>
        <w:fldChar w:fldCharType="begin"/>
      </w:r>
      <w:r>
        <w:instrText xml:space="preserve"> HYPERLINK \l "_Toc5045" </w:instrText>
      </w:r>
      <w:r>
        <w:fldChar w:fldCharType="separate"/>
      </w:r>
      <w:r>
        <w:rPr>
          <w:rFonts w:hint="eastAsia" w:ascii="仿宋_GB2312" w:hAnsi="华文细黑" w:eastAsia="仿宋_GB2312"/>
          <w:sz w:val="24"/>
        </w:rPr>
        <w:t>10.3预案的实施和生效时间</w:t>
      </w:r>
      <w:r>
        <w:rPr>
          <w:sz w:val="24"/>
        </w:rPr>
        <w:tab/>
      </w:r>
      <w:r>
        <w:rPr>
          <w:sz w:val="24"/>
        </w:rPr>
        <w:fldChar w:fldCharType="begin"/>
      </w:r>
      <w:r>
        <w:rPr>
          <w:sz w:val="24"/>
        </w:rPr>
        <w:instrText xml:space="preserve"> PAGEREF _Toc5045 </w:instrText>
      </w:r>
      <w:r>
        <w:rPr>
          <w:sz w:val="24"/>
        </w:rPr>
        <w:fldChar w:fldCharType="separate"/>
      </w:r>
      <w:r>
        <w:rPr>
          <w:sz w:val="24"/>
        </w:rPr>
        <w:t>69</w:t>
      </w:r>
      <w:r>
        <w:rPr>
          <w:sz w:val="24"/>
        </w:rPr>
        <w:fldChar w:fldCharType="end"/>
      </w:r>
      <w:r>
        <w:rPr>
          <w:sz w:val="24"/>
        </w:rPr>
        <w:fldChar w:fldCharType="end"/>
      </w:r>
    </w:p>
    <w:p>
      <w:pPr>
        <w:pStyle w:val="17"/>
        <w:tabs>
          <w:tab w:val="right" w:leader="dot" w:pos="8730"/>
          <w:tab w:val="clear" w:pos="8296"/>
        </w:tabs>
        <w:snapToGrid w:val="0"/>
        <w:spacing w:line="360" w:lineRule="auto"/>
        <w:rPr>
          <w:sz w:val="24"/>
          <w:szCs w:val="24"/>
        </w:rPr>
      </w:pPr>
      <w:r>
        <w:fldChar w:fldCharType="begin"/>
      </w:r>
      <w:r>
        <w:instrText xml:space="preserve"> HYPERLINK \l "_Toc7272" </w:instrText>
      </w:r>
      <w:r>
        <w:fldChar w:fldCharType="separate"/>
      </w:r>
      <w:r>
        <w:rPr>
          <w:rFonts w:hint="eastAsia"/>
          <w:sz w:val="24"/>
          <w:szCs w:val="24"/>
        </w:rPr>
        <w:t>11附件</w:t>
      </w:r>
      <w:r>
        <w:rPr>
          <w:sz w:val="24"/>
          <w:szCs w:val="24"/>
        </w:rPr>
        <w:tab/>
      </w:r>
      <w:r>
        <w:rPr>
          <w:sz w:val="24"/>
          <w:szCs w:val="24"/>
        </w:rPr>
        <w:fldChar w:fldCharType="begin"/>
      </w:r>
      <w:r>
        <w:rPr>
          <w:sz w:val="24"/>
          <w:szCs w:val="24"/>
        </w:rPr>
        <w:instrText xml:space="preserve"> PAGEREF _Toc7272 </w:instrText>
      </w:r>
      <w:r>
        <w:rPr>
          <w:sz w:val="24"/>
          <w:szCs w:val="24"/>
        </w:rPr>
        <w:fldChar w:fldCharType="separate"/>
      </w:r>
      <w:r>
        <w:rPr>
          <w:sz w:val="24"/>
          <w:szCs w:val="24"/>
        </w:rPr>
        <w:t>69</w:t>
      </w:r>
      <w:r>
        <w:rPr>
          <w:sz w:val="24"/>
          <w:szCs w:val="24"/>
        </w:rPr>
        <w:fldChar w:fldCharType="end"/>
      </w:r>
      <w:r>
        <w:rPr>
          <w:sz w:val="24"/>
          <w:szCs w:val="24"/>
        </w:rPr>
        <w:fldChar w:fldCharType="end"/>
      </w:r>
    </w:p>
    <w:p>
      <w:pPr>
        <w:snapToGrid w:val="0"/>
        <w:spacing w:line="360" w:lineRule="auto"/>
        <w:rPr>
          <w:rFonts w:ascii="仿宋_GB2312" w:hAnsi="华文细黑" w:eastAsia="仿宋_GB2312"/>
          <w:b/>
          <w:sz w:val="28"/>
          <w:szCs w:val="28"/>
        </w:rPr>
      </w:pPr>
      <w:r>
        <w:rPr>
          <w:sz w:val="24"/>
          <w:szCs w:val="24"/>
        </w:rPr>
        <w:fldChar w:fldCharType="end"/>
      </w:r>
      <w:bookmarkStart w:id="0" w:name="_Toc224965863"/>
      <w:bookmarkStart w:id="1" w:name="_Toc225244046"/>
    </w:p>
    <w:p>
      <w:pPr>
        <w:snapToGrid w:val="0"/>
        <w:spacing w:line="360" w:lineRule="auto"/>
        <w:ind w:firstLine="482" w:firstLineChars="200"/>
        <w:rPr>
          <w:rFonts w:ascii="仿宋_GB2312" w:hAnsi="华文细黑" w:eastAsia="仿宋_GB2312"/>
          <w:b/>
          <w:sz w:val="24"/>
          <w:szCs w:val="24"/>
        </w:rPr>
      </w:pPr>
      <w:r>
        <w:rPr>
          <w:rFonts w:hint="eastAsia" w:ascii="仿宋_GB2312" w:hAnsi="华文细黑" w:eastAsia="仿宋_GB2312"/>
          <w:b/>
          <w:sz w:val="24"/>
          <w:szCs w:val="24"/>
        </w:rPr>
        <w:br w:type="page"/>
      </w:r>
    </w:p>
    <w:p>
      <w:pPr>
        <w:snapToGrid w:val="0"/>
        <w:spacing w:line="360" w:lineRule="auto"/>
        <w:ind w:firstLine="482" w:firstLineChars="200"/>
        <w:rPr>
          <w:rFonts w:ascii="仿宋_GB2312" w:hAnsi="华文细黑" w:eastAsia="仿宋_GB2312"/>
          <w:b/>
          <w:sz w:val="24"/>
          <w:szCs w:val="24"/>
        </w:rPr>
      </w:pPr>
    </w:p>
    <w:p>
      <w:pPr>
        <w:snapToGrid w:val="0"/>
        <w:spacing w:line="360" w:lineRule="auto"/>
        <w:ind w:firstLine="482" w:firstLineChars="200"/>
        <w:rPr>
          <w:rFonts w:ascii="仿宋_GB2312" w:hAnsi="华文细黑" w:eastAsia="仿宋_GB2312"/>
          <w:b/>
          <w:sz w:val="24"/>
          <w:szCs w:val="24"/>
        </w:rPr>
      </w:pPr>
      <w:r>
        <w:rPr>
          <w:rFonts w:hint="eastAsia" w:ascii="仿宋_GB2312" w:hAnsi="华文细黑" w:eastAsia="仿宋_GB2312"/>
          <w:b/>
          <w:sz w:val="24"/>
          <w:szCs w:val="24"/>
        </w:rPr>
        <w:t>附图与附表：</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附图1地理位置图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附图2平面布置图及风险源分布图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附表3危险废物委托处理合同</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附图4周边环境危险目标分布图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附图5应急救援联系电话</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附图6应急物资装备的清单</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附表7消防器材分布图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附表8应急疏散图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附表9雨水排放系统图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附图10污水排放系统图</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附图11应急工作流程图</w:t>
      </w:r>
    </w:p>
    <w:p>
      <w:pPr>
        <w:snapToGrid w:val="0"/>
        <w:spacing w:line="360" w:lineRule="auto"/>
        <w:ind w:firstLine="482" w:firstLineChars="200"/>
        <w:rPr>
          <w:rFonts w:hint="eastAsia" w:ascii="仿宋_GB2312" w:hAnsi="华文细黑" w:eastAsia="仿宋_GB2312"/>
          <w:b/>
          <w:sz w:val="24"/>
          <w:szCs w:val="24"/>
        </w:rPr>
      </w:pPr>
    </w:p>
    <w:p>
      <w:pPr>
        <w:snapToGrid w:val="0"/>
        <w:spacing w:line="360" w:lineRule="auto"/>
        <w:ind w:firstLine="482" w:firstLineChars="200"/>
        <w:rPr>
          <w:rFonts w:ascii="仿宋_GB2312" w:hAnsi="华文细黑" w:eastAsia="仿宋_GB2312"/>
          <w:b/>
          <w:sz w:val="24"/>
          <w:szCs w:val="24"/>
        </w:rPr>
      </w:pPr>
      <w:r>
        <w:rPr>
          <w:rFonts w:hint="eastAsia" w:ascii="仿宋_GB2312" w:hAnsi="华文细黑" w:eastAsia="仿宋_GB2312"/>
          <w:b/>
          <w:sz w:val="24"/>
          <w:szCs w:val="24"/>
        </w:rPr>
        <w:t>附件：</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附件1环境应急资源调查报告</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附件2突发环境事件风险评估报告</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附件3危险化学品事故专项应急预案</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附件4危险废物专项应急预案</w:t>
      </w:r>
    </w:p>
    <w:p>
      <w:pPr>
        <w:snapToGrid w:val="0"/>
        <w:spacing w:line="360" w:lineRule="auto"/>
        <w:jc w:val="center"/>
        <w:outlineLvl w:val="0"/>
        <w:rPr>
          <w:rFonts w:ascii="仿宋_GB2312" w:hAnsi="华文细黑" w:eastAsia="仿宋_GB2312"/>
          <w:b/>
          <w:sz w:val="32"/>
          <w:szCs w:val="32"/>
        </w:rPr>
      </w:pPr>
      <w:r>
        <w:rPr>
          <w:rFonts w:hint="eastAsia" w:ascii="仿宋_GB2312" w:hAnsi="华文细黑" w:eastAsia="仿宋_GB2312"/>
          <w:sz w:val="28"/>
          <w:szCs w:val="28"/>
        </w:rPr>
        <w:br w:type="page"/>
      </w:r>
      <w:bookmarkStart w:id="2" w:name="_Toc13436"/>
      <w:bookmarkStart w:id="3" w:name="_Toc410289753"/>
      <w:r>
        <w:rPr>
          <w:rFonts w:hint="eastAsia" w:ascii="仿宋_GB2312" w:hAnsi="华文细黑" w:eastAsia="仿宋_GB2312"/>
          <w:b/>
          <w:sz w:val="32"/>
          <w:szCs w:val="32"/>
        </w:rPr>
        <w:t>1 总则</w:t>
      </w:r>
      <w:bookmarkEnd w:id="0"/>
      <w:bookmarkEnd w:id="1"/>
      <w:bookmarkEnd w:id="2"/>
      <w:bookmarkEnd w:id="3"/>
    </w:p>
    <w:p>
      <w:pPr>
        <w:snapToGrid w:val="0"/>
        <w:spacing w:line="360" w:lineRule="auto"/>
        <w:ind w:firstLine="560" w:firstLineChars="200"/>
        <w:outlineLvl w:val="1"/>
        <w:rPr>
          <w:rFonts w:ascii="仿宋_GB2312" w:hAnsi="华文细黑" w:eastAsia="仿宋_GB2312"/>
          <w:sz w:val="28"/>
          <w:szCs w:val="28"/>
        </w:rPr>
      </w:pPr>
      <w:bookmarkStart w:id="4" w:name="_Toc225244047"/>
      <w:bookmarkStart w:id="5" w:name="_Toc224965864"/>
      <w:bookmarkStart w:id="6" w:name="_Toc27667"/>
      <w:bookmarkStart w:id="7" w:name="_Toc410289754"/>
      <w:r>
        <w:rPr>
          <w:rFonts w:hint="eastAsia" w:ascii="仿宋_GB2312" w:hAnsi="华文细黑" w:eastAsia="仿宋_GB2312"/>
          <w:sz w:val="28"/>
          <w:szCs w:val="28"/>
        </w:rPr>
        <w:t>1.1 编制目的</w:t>
      </w:r>
      <w:bookmarkEnd w:id="4"/>
      <w:bookmarkEnd w:id="5"/>
      <w:bookmarkEnd w:id="6"/>
      <w:bookmarkEnd w:id="7"/>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sz w:val="24"/>
          <w:szCs w:val="24"/>
        </w:rPr>
        <w:t>为保障公众生命安全和身体健康，有效预防、及时控制和迅速消除突发环境事件的危害，规范各类突发环境事件的应急处置工作，维护和保障公众健康和环境安全，维护正常的社会秩序，本着“预防为主、自救为主，统一指挥，分工负责”的原则，结合本公司实际，制定本预案。</w:t>
      </w:r>
    </w:p>
    <w:p>
      <w:pPr>
        <w:snapToGrid w:val="0"/>
        <w:spacing w:line="360" w:lineRule="auto"/>
        <w:ind w:firstLine="560" w:firstLineChars="200"/>
        <w:outlineLvl w:val="1"/>
        <w:rPr>
          <w:rFonts w:ascii="仿宋_GB2312" w:hAnsi="华文细黑" w:eastAsia="仿宋_GB2312"/>
          <w:sz w:val="28"/>
          <w:szCs w:val="28"/>
        </w:rPr>
      </w:pPr>
      <w:bookmarkStart w:id="8" w:name="_Toc225244048"/>
      <w:bookmarkStart w:id="9" w:name="_Toc224965865"/>
      <w:bookmarkStart w:id="10" w:name="_Toc410289755"/>
      <w:bookmarkStart w:id="11" w:name="_Toc23993"/>
      <w:r>
        <w:rPr>
          <w:rFonts w:hint="eastAsia" w:ascii="仿宋_GB2312" w:hAnsi="华文细黑" w:eastAsia="仿宋_GB2312"/>
          <w:sz w:val="28"/>
          <w:szCs w:val="28"/>
        </w:rPr>
        <w:t>1.2 编制依据</w:t>
      </w:r>
      <w:bookmarkEnd w:id="8"/>
      <w:bookmarkEnd w:id="9"/>
      <w:bookmarkEnd w:id="10"/>
      <w:bookmarkEnd w:id="11"/>
    </w:p>
    <w:p>
      <w:pPr>
        <w:snapToGrid w:val="0"/>
        <w:spacing w:line="360" w:lineRule="auto"/>
        <w:ind w:firstLine="480" w:firstLineChars="200"/>
        <w:jc w:val="left"/>
        <w:rPr>
          <w:rFonts w:ascii="仿宋_GB2312" w:eastAsia="仿宋_GB2312"/>
          <w:sz w:val="24"/>
          <w:szCs w:val="24"/>
        </w:rPr>
      </w:pPr>
      <w:bookmarkStart w:id="12" w:name="_Toc225244049"/>
      <w:bookmarkStart w:id="13" w:name="_Toc224965866"/>
      <w:bookmarkStart w:id="14" w:name="_Toc410289756"/>
      <w:r>
        <w:rPr>
          <w:rFonts w:hint="eastAsia" w:ascii="仿宋_GB2312" w:eastAsia="仿宋_GB2312"/>
          <w:sz w:val="24"/>
          <w:szCs w:val="24"/>
        </w:rPr>
        <w:t>（1）《中华人民共和国环境保护法》（中华人民共和国主席令第九号，2015年1月1日起实施）；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（2）《中华人民共和国大气污染防治法》（中华人民共和国主席令第三十二号，2000年9月1日起实施）；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（3）《中华人民共和国水污染防治法》（中华人民共和国主席令第八十七号，2008年6月1日起实施）；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（4）《中华人民共和国固体废物污染环境防治法》（中华人民共和国主席令第三十一号，2005年4月1日起实施）；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（5）《中华人民共和国环境影响评价法》（中华人民共和国主席令第七十七号，2003年9月1日起实施）；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（6）《中华人民共和国安全生产法》（中华人民共和国主席令第十三号，2014年12月1日起实施）；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（7）《中华人民共和国消防法》（中华人民共和国主席令第六号，2009年5月1日起实施）；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cs="仿宋_GB2312"/>
          <w:sz w:val="24"/>
          <w:szCs w:val="24"/>
        </w:rPr>
        <w:t>（8）《中华人民共和国突发事件应对法》（中华人民共和国主席令第六十九号，2007年11月1日起实施）；</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sz w:val="24"/>
          <w:szCs w:val="24"/>
        </w:rPr>
        <w:t>（9）《建设项目环境保护管理条例》（中华人民共和国国务院令 第253号）</w:t>
      </w:r>
    </w:p>
    <w:p>
      <w:pPr>
        <w:snapToGrid w:val="0"/>
        <w:spacing w:line="360" w:lineRule="auto"/>
        <w:ind w:firstLine="480" w:firstLineChars="200"/>
        <w:jc w:val="left"/>
        <w:rPr>
          <w:rFonts w:ascii="仿宋_GB2312" w:eastAsia="仿宋_GB2312"/>
          <w:sz w:val="24"/>
          <w:szCs w:val="24"/>
        </w:rPr>
      </w:pPr>
      <w:r>
        <w:rPr>
          <w:rFonts w:hint="eastAsia" w:ascii="仿宋_GB2312" w:eastAsia="仿宋_GB2312" w:cs="仿宋_GB2312"/>
          <w:sz w:val="24"/>
          <w:szCs w:val="24"/>
        </w:rPr>
        <w:t>（10）《危险化学品安全管理条例》（中华人民共和国国务院令 第591号）；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（11）《国家突发环境事件应急预案》（</w:t>
      </w:r>
      <w:r>
        <w:rPr>
          <w:rFonts w:ascii="仿宋_GB2312" w:eastAsia="仿宋_GB2312" w:cs="仿宋_GB2312"/>
          <w:sz w:val="24"/>
          <w:szCs w:val="24"/>
        </w:rPr>
        <w:t>国办函〔2014〕119号</w:t>
      </w:r>
      <w:r>
        <w:rPr>
          <w:rFonts w:hint="eastAsia" w:ascii="仿宋_GB2312" w:eastAsia="仿宋_GB2312" w:cs="仿宋_GB2312"/>
          <w:sz w:val="24"/>
          <w:szCs w:val="24"/>
        </w:rPr>
        <w:t>）；</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（12）《国家突发公共事件总体应急预案》（</w:t>
      </w:r>
      <w:r>
        <w:fldChar w:fldCharType="begin"/>
      </w:r>
      <w:r>
        <w:instrText xml:space="preserve"> HYPERLINK "http://baike.sogou.com/lemma/ShowInnerLink.htm?lemmaId=110685" \t "_blank" </w:instrText>
      </w:r>
      <w:r>
        <w:fldChar w:fldCharType="separate"/>
      </w:r>
      <w:r>
        <w:rPr>
          <w:rFonts w:hint="eastAsia" w:ascii="仿宋_GB2312" w:eastAsia="仿宋_GB2312" w:cs="仿宋_GB2312"/>
          <w:sz w:val="24"/>
          <w:szCs w:val="24"/>
        </w:rPr>
        <w:t>国务院</w:t>
      </w:r>
      <w:r>
        <w:rPr>
          <w:rFonts w:hint="eastAsia" w:ascii="仿宋_GB2312" w:eastAsia="仿宋_GB2312" w:cs="仿宋_GB2312"/>
          <w:sz w:val="24"/>
          <w:szCs w:val="24"/>
        </w:rPr>
        <w:fldChar w:fldCharType="end"/>
      </w:r>
      <w:r>
        <w:rPr>
          <w:rFonts w:hint="eastAsia" w:ascii="仿宋_GB2312" w:eastAsia="仿宋_GB2312" w:cs="仿宋_GB2312"/>
          <w:sz w:val="24"/>
          <w:szCs w:val="24"/>
        </w:rPr>
        <w:t>第</w:t>
      </w:r>
      <w:r>
        <w:rPr>
          <w:rFonts w:ascii="仿宋_GB2312" w:eastAsia="仿宋_GB2312" w:cs="仿宋_GB2312"/>
          <w:sz w:val="24"/>
          <w:szCs w:val="24"/>
        </w:rPr>
        <w:t>79</w:t>
      </w:r>
      <w:r>
        <w:rPr>
          <w:rFonts w:hint="eastAsia" w:ascii="仿宋_GB2312" w:eastAsia="仿宋_GB2312" w:cs="仿宋_GB2312"/>
          <w:sz w:val="24"/>
          <w:szCs w:val="24"/>
        </w:rPr>
        <w:t>次常务会议，</w:t>
      </w:r>
      <w:r>
        <w:rPr>
          <w:rFonts w:ascii="仿宋_GB2312" w:eastAsia="仿宋_GB2312" w:cs="仿宋_GB2312"/>
          <w:sz w:val="24"/>
          <w:szCs w:val="24"/>
        </w:rPr>
        <w:t>2006</w:t>
      </w:r>
      <w:r>
        <w:rPr>
          <w:rFonts w:hint="eastAsia" w:ascii="仿宋_GB2312" w:eastAsia="仿宋_GB2312" w:cs="仿宋_GB2312"/>
          <w:sz w:val="24"/>
          <w:szCs w:val="24"/>
        </w:rPr>
        <w:t>年</w:t>
      </w:r>
      <w:r>
        <w:rPr>
          <w:rFonts w:ascii="仿宋_GB2312" w:eastAsia="仿宋_GB2312" w:cs="仿宋_GB2312"/>
          <w:sz w:val="24"/>
          <w:szCs w:val="24"/>
        </w:rPr>
        <w:t>1</w:t>
      </w:r>
      <w:r>
        <w:rPr>
          <w:rFonts w:hint="eastAsia" w:ascii="仿宋_GB2312" w:eastAsia="仿宋_GB2312" w:cs="仿宋_GB2312"/>
          <w:sz w:val="24"/>
          <w:szCs w:val="24"/>
        </w:rPr>
        <w:t>月</w:t>
      </w:r>
      <w:r>
        <w:rPr>
          <w:rFonts w:ascii="仿宋_GB2312" w:eastAsia="仿宋_GB2312" w:cs="仿宋_GB2312"/>
          <w:sz w:val="24"/>
          <w:szCs w:val="24"/>
        </w:rPr>
        <w:t>8</w:t>
      </w:r>
      <w:r>
        <w:rPr>
          <w:rFonts w:hint="eastAsia" w:ascii="仿宋_GB2312" w:eastAsia="仿宋_GB2312" w:cs="仿宋_GB2312"/>
          <w:sz w:val="24"/>
          <w:szCs w:val="24"/>
        </w:rPr>
        <w:t>日）；</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（13）《突发事件应急预案管理办法》（国办发[2013]101号）；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（14）关于印发《环境保护部环境应急专家管理办法》的通知（环办[2010]105号）；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（15）关于印发《企业事业单位突发环境事件应急预案备案管理办法（试行）》（环发[2015]4号）；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（16）《突发环境事件信息报告办法》（环境保护部令第17号，2011年5月1日起实施）；</w:t>
      </w:r>
    </w:p>
    <w:p>
      <w:pPr>
        <w:ind w:firstLine="480" w:firstLineChars="200"/>
        <w:rPr>
          <w:sz w:val="24"/>
          <w:szCs w:val="24"/>
        </w:rPr>
      </w:pPr>
      <w:r>
        <w:rPr>
          <w:rFonts w:hint="eastAsia" w:ascii="仿宋_GB2312" w:eastAsia="仿宋_GB2312" w:cs="仿宋_GB2312"/>
          <w:sz w:val="24"/>
          <w:szCs w:val="24"/>
        </w:rPr>
        <w:t>（17）关于印发《企业突发环境事件风险评估指南（试行）》的通知（环办[2014]34号）；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（18）《山东省突发事件应对条例》（省人大常委会公告第120号，2012年9月1日起实施）；</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（19）《山东省突发事件总体应急预案》（鲁政发[2012]5号）；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（20）《山东省突发事件应急预案管理办法》（鲁政办发[2009]56号）；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（21）《山东省突发环境事件应急预案》（鲁政办字[2013]89号）；</w:t>
      </w:r>
    </w:p>
    <w:p>
      <w:pPr>
        <w:snapToGrid w:val="0"/>
        <w:spacing w:line="360" w:lineRule="auto"/>
        <w:ind w:firstLine="480" w:firstLineChars="200"/>
        <w:jc w:val="left"/>
        <w:rPr>
          <w:rFonts w:ascii="仿宋_GB2312" w:eastAsia="仿宋_GB2312" w:cs="仿宋_GB2312"/>
          <w:b/>
          <w:sz w:val="24"/>
          <w:szCs w:val="24"/>
        </w:rPr>
      </w:pPr>
      <w:r>
        <w:rPr>
          <w:rFonts w:hint="eastAsia" w:ascii="仿宋_GB2312" w:eastAsia="仿宋_GB2312" w:cs="仿宋_GB2312"/>
          <w:sz w:val="24"/>
          <w:szCs w:val="24"/>
        </w:rPr>
        <w:t>（22）《山东省人民政府关于进一步加强危险化学品安全生产工作的意见》（鲁政办发[2008]68号）；</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（23）《山东省突发环境事件应急预案评估导则》（试行）；</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（24）《国家危险废物名录》（2016年版）；</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（25）《危险化学品名录（2015年版）》；</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（26）</w:t>
      </w:r>
      <w:r>
        <w:rPr>
          <w:rFonts w:hint="eastAsia" w:ascii="仿宋_GB2312" w:eastAsia="仿宋_GB2312"/>
          <w:sz w:val="24"/>
          <w:szCs w:val="24"/>
        </w:rPr>
        <w:t>《化学品分类和危险性公示  通则》（GB13690-2009）；</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（27）《危险化学品重大危险源辨识》（GB18218-2009）；</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（28）《化学品分类和标签规范》（GB30000.1～14-2013）；</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（29）《危险废物贮存污染控制标准》（GB18597-2001）；</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（30）《污水排入城镇下水道水质标准》（CJ343-2010）；</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（31）《大气污染物综合排放标准》 (GB16297-1996)；</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（32）《山东省固定源大气颗粒物综合排放标准》（DB37/1996-2011）；</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（33）《环境空气质量标准》（GB3095-2012）；</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（34）《地表水环境质量标准》（GB3838-2002）；</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（35）《地下水质量标准》（GB/T14848-93）；</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（36）《恶臭污染物排放标准》（GB 14554-1993）；</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（37）《工业企业设计卫生标准》（GBZ1-2010）；</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（38）《建设项目环境风险评价技术导则》（HJ/T169-2004）；</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cs="仿宋_GB2312"/>
          <w:sz w:val="24"/>
          <w:szCs w:val="24"/>
        </w:rPr>
        <w:t>（39）《蓬莱市前卫化工有限公司厂区整体搬迁项目环境影响变更报告书》</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sz w:val="24"/>
          <w:szCs w:val="24"/>
        </w:rPr>
        <w:t>（40）</w:t>
      </w:r>
      <w:r>
        <w:rPr>
          <w:rFonts w:hint="eastAsia" w:ascii="仿宋_GB2312" w:eastAsia="仿宋_GB2312" w:cs="仿宋_GB2312"/>
          <w:sz w:val="24"/>
          <w:szCs w:val="24"/>
        </w:rPr>
        <w:t>《蓬莱市前卫化工有限公司厂区整体搬迁项目环境影响报告书》</w:t>
      </w:r>
    </w:p>
    <w:p>
      <w:pPr>
        <w:snapToGrid w:val="0"/>
        <w:spacing w:line="360" w:lineRule="auto"/>
        <w:ind w:firstLine="480" w:firstLineChars="200"/>
        <w:jc w:val="left"/>
        <w:rPr>
          <w:rFonts w:ascii="仿宋_GB2312" w:eastAsia="仿宋_GB2312" w:cs="仿宋_GB2312"/>
          <w:sz w:val="24"/>
          <w:szCs w:val="24"/>
        </w:rPr>
      </w:pPr>
      <w:r>
        <w:rPr>
          <w:rFonts w:hint="eastAsia" w:ascii="仿宋_GB2312" w:eastAsia="仿宋_GB2312"/>
          <w:sz w:val="24"/>
          <w:szCs w:val="24"/>
        </w:rPr>
        <w:t>（41）</w:t>
      </w:r>
      <w:r>
        <w:rPr>
          <w:rFonts w:hint="eastAsia" w:ascii="仿宋_GB2312" w:eastAsia="仿宋_GB2312" w:cs="仿宋_GB2312"/>
          <w:sz w:val="24"/>
          <w:szCs w:val="24"/>
        </w:rPr>
        <w:t>《蓬莱市前卫化工有限公司2000吨/年2-甲基苯氧乙酸项目环境影响报告书》</w:t>
      </w:r>
    </w:p>
    <w:p>
      <w:pPr>
        <w:snapToGrid w:val="0"/>
        <w:spacing w:line="360" w:lineRule="auto"/>
        <w:ind w:firstLine="480" w:firstLineChars="200"/>
        <w:jc w:val="left"/>
        <w:rPr>
          <w:rFonts w:ascii="仿宋_GB2312" w:hAnsi="华文细黑" w:eastAsia="仿宋_GB2312"/>
          <w:sz w:val="28"/>
          <w:szCs w:val="28"/>
        </w:rPr>
      </w:pPr>
      <w:r>
        <w:rPr>
          <w:rFonts w:hint="eastAsia" w:ascii="仿宋_GB2312" w:eastAsia="仿宋_GB2312"/>
          <w:sz w:val="24"/>
          <w:szCs w:val="24"/>
        </w:rPr>
        <w:t>（42）其他相关的法律、法规、规章和标准。</w:t>
      </w:r>
    </w:p>
    <w:p>
      <w:pPr>
        <w:snapToGrid w:val="0"/>
        <w:spacing w:line="360" w:lineRule="auto"/>
        <w:ind w:firstLine="560" w:firstLineChars="200"/>
        <w:outlineLvl w:val="1"/>
        <w:rPr>
          <w:rFonts w:ascii="仿宋_GB2312" w:hAnsi="华文细黑" w:eastAsia="仿宋_GB2312"/>
          <w:sz w:val="28"/>
          <w:szCs w:val="28"/>
        </w:rPr>
      </w:pPr>
      <w:bookmarkStart w:id="15" w:name="_Toc11184"/>
      <w:r>
        <w:rPr>
          <w:rFonts w:hint="eastAsia" w:ascii="仿宋_GB2312" w:hAnsi="华文细黑" w:eastAsia="仿宋_GB2312"/>
          <w:sz w:val="28"/>
          <w:szCs w:val="28"/>
        </w:rPr>
        <w:t>1.3 适用范围</w:t>
      </w:r>
      <w:bookmarkEnd w:id="12"/>
      <w:bookmarkEnd w:id="13"/>
      <w:bookmarkEnd w:id="14"/>
      <w:bookmarkEnd w:id="15"/>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sz w:val="24"/>
          <w:szCs w:val="24"/>
        </w:rPr>
        <w:t>本预案适用于公司生产厂区内发生的废气、废水、固废（包括危险废物）、危险化学品等环境污染、破坏事件；在生产、经营、贮存、运输、使用和处置过程中发生的泄漏、火灾爆炸等事故形成的一级、二级、三级突发环境污染破坏事件的应急抢险、救援行动。</w:t>
      </w:r>
    </w:p>
    <w:p>
      <w:pPr>
        <w:snapToGrid w:val="0"/>
        <w:spacing w:line="360" w:lineRule="auto"/>
        <w:ind w:firstLine="560" w:firstLineChars="200"/>
        <w:outlineLvl w:val="1"/>
        <w:rPr>
          <w:rFonts w:ascii="仿宋_GB2312" w:hAnsi="华文细黑" w:eastAsia="仿宋_GB2312"/>
          <w:sz w:val="28"/>
          <w:szCs w:val="28"/>
        </w:rPr>
      </w:pPr>
      <w:bookmarkStart w:id="16" w:name="_Toc21637"/>
      <w:bookmarkStart w:id="17" w:name="_Toc225244050"/>
      <w:bookmarkStart w:id="18" w:name="_Toc410289757"/>
      <w:bookmarkStart w:id="19" w:name="_Toc224965867"/>
      <w:r>
        <w:rPr>
          <w:rFonts w:hint="eastAsia" w:ascii="仿宋_GB2312" w:hAnsi="华文细黑" w:eastAsia="仿宋_GB2312"/>
          <w:sz w:val="28"/>
          <w:szCs w:val="28"/>
        </w:rPr>
        <w:t>1.4 事件分级</w:t>
      </w:r>
      <w:bookmarkEnd w:id="16"/>
    </w:p>
    <w:p>
      <w:pPr>
        <w:snapToGrid w:val="0"/>
        <w:spacing w:line="360" w:lineRule="auto"/>
        <w:ind w:firstLine="480" w:firstLineChars="200"/>
        <w:jc w:val="left"/>
        <w:rPr>
          <w:rFonts w:ascii="仿宋_GB2312" w:eastAsia="仿宋_GB2312" w:cs="宋体"/>
          <w:sz w:val="24"/>
          <w:szCs w:val="24"/>
        </w:rPr>
      </w:pPr>
      <w:r>
        <w:rPr>
          <w:rFonts w:hint="eastAsia" w:ascii="仿宋_GB2312" w:eastAsia="仿宋_GB2312"/>
          <w:sz w:val="24"/>
          <w:szCs w:val="24"/>
        </w:rPr>
        <w:t>按照突发环境事故严重性、紧急程度和可能波及的范围，公司突发环境事件分为重大环境事件（Ⅰ级）、较大环境事件(Ⅱ级)、一般环境事件(Ⅲ级)。</w:t>
      </w:r>
    </w:p>
    <w:p>
      <w:pPr>
        <w:snapToGrid w:val="0"/>
        <w:spacing w:line="360" w:lineRule="auto"/>
        <w:ind w:firstLine="560" w:firstLineChars="200"/>
        <w:outlineLvl w:val="2"/>
        <w:rPr>
          <w:rFonts w:ascii="宋体" w:hAnsi="宋体" w:cs="宋体"/>
          <w:sz w:val="24"/>
        </w:rPr>
      </w:pPr>
      <w:bookmarkStart w:id="20" w:name="_Toc28558"/>
      <w:r>
        <w:rPr>
          <w:rFonts w:hint="eastAsia" w:ascii="仿宋_GB2312" w:hAnsi="华文细黑" w:eastAsia="仿宋_GB2312"/>
          <w:sz w:val="28"/>
          <w:szCs w:val="28"/>
        </w:rPr>
        <w:t>1.4.1</w:t>
      </w:r>
      <w:r>
        <w:rPr>
          <w:rFonts w:ascii="仿宋_GB2312" w:hAnsi="华文细黑" w:eastAsia="仿宋_GB2312"/>
          <w:sz w:val="28"/>
          <w:szCs w:val="28"/>
        </w:rPr>
        <w:t xml:space="preserve"> 重大（</w:t>
      </w:r>
      <w:r>
        <w:rPr>
          <w:rFonts w:hint="eastAsia" w:ascii="仿宋_GB2312" w:eastAsia="仿宋_GB2312"/>
          <w:sz w:val="28"/>
          <w:szCs w:val="28"/>
        </w:rPr>
        <w:t>Ⅰ级</w:t>
      </w:r>
      <w:r>
        <w:rPr>
          <w:rFonts w:ascii="仿宋_GB2312" w:hAnsi="华文细黑" w:eastAsia="仿宋_GB2312"/>
          <w:sz w:val="28"/>
          <w:szCs w:val="28"/>
        </w:rPr>
        <w:t>）突发环境事件</w:t>
      </w:r>
      <w:bookmarkEnd w:id="20"/>
    </w:p>
    <w:p>
      <w:pPr>
        <w:snapToGrid w:val="0"/>
        <w:spacing w:line="360" w:lineRule="auto"/>
        <w:ind w:firstLine="475" w:firstLineChars="198"/>
        <w:rPr>
          <w:rFonts w:ascii="仿宋_GB2312" w:hAnsi="华文细黑" w:eastAsia="仿宋_GB2312"/>
          <w:kern w:val="11"/>
          <w:sz w:val="24"/>
          <w:szCs w:val="24"/>
        </w:rPr>
      </w:pPr>
      <w:r>
        <w:rPr>
          <w:rFonts w:ascii="仿宋_GB2312" w:hAnsi="华文细黑" w:eastAsia="仿宋_GB2312"/>
          <w:kern w:val="11"/>
          <w:sz w:val="24"/>
          <w:szCs w:val="24"/>
        </w:rPr>
        <w:t>凡符合下列情形之一的，为特别重大突发环境事件：</w:t>
      </w:r>
    </w:p>
    <w:p>
      <w:pPr>
        <w:snapToGrid w:val="0"/>
        <w:spacing w:line="360" w:lineRule="auto"/>
        <w:ind w:firstLine="475" w:firstLineChars="198"/>
        <w:rPr>
          <w:rFonts w:ascii="仿宋_GB2312" w:hAnsi="华文细黑" w:eastAsia="仿宋_GB2312"/>
          <w:kern w:val="11"/>
          <w:sz w:val="24"/>
          <w:szCs w:val="24"/>
        </w:rPr>
      </w:pPr>
      <w:r>
        <w:rPr>
          <w:rFonts w:ascii="仿宋_GB2312" w:hAnsi="华文细黑" w:eastAsia="仿宋_GB2312"/>
          <w:kern w:val="11"/>
          <w:sz w:val="24"/>
          <w:szCs w:val="24"/>
        </w:rPr>
        <w:t>（1）因环境污染直接导致</w:t>
      </w:r>
      <w:r>
        <w:rPr>
          <w:rFonts w:hint="eastAsia" w:ascii="仿宋_GB2312" w:hAnsi="华文细黑" w:eastAsia="仿宋_GB2312"/>
          <w:kern w:val="11"/>
          <w:sz w:val="24"/>
          <w:szCs w:val="24"/>
        </w:rPr>
        <w:t>30</w:t>
      </w:r>
      <w:r>
        <w:rPr>
          <w:rFonts w:ascii="仿宋_GB2312" w:hAnsi="华文细黑" w:eastAsia="仿宋_GB2312"/>
          <w:kern w:val="11"/>
          <w:sz w:val="24"/>
          <w:szCs w:val="24"/>
        </w:rPr>
        <w:t>人以上中毒的；</w:t>
      </w:r>
    </w:p>
    <w:p>
      <w:pPr>
        <w:snapToGrid w:val="0"/>
        <w:spacing w:line="360" w:lineRule="auto"/>
        <w:ind w:firstLine="475" w:firstLineChars="198"/>
        <w:rPr>
          <w:rFonts w:ascii="仿宋_GB2312" w:hAnsi="华文细黑" w:eastAsia="仿宋_GB2312"/>
          <w:kern w:val="11"/>
          <w:sz w:val="24"/>
          <w:szCs w:val="24"/>
        </w:rPr>
      </w:pPr>
      <w:r>
        <w:rPr>
          <w:rFonts w:ascii="仿宋_GB2312" w:hAnsi="华文细黑" w:eastAsia="仿宋_GB2312"/>
          <w:kern w:val="11"/>
          <w:sz w:val="24"/>
          <w:szCs w:val="24"/>
        </w:rPr>
        <w:t>（2）因环境污染需疏散、转移</w:t>
      </w:r>
      <w:r>
        <w:rPr>
          <w:rFonts w:hint="eastAsia" w:ascii="仿宋_GB2312" w:hAnsi="华文细黑" w:eastAsia="仿宋_GB2312"/>
          <w:kern w:val="11"/>
          <w:sz w:val="24"/>
          <w:szCs w:val="24"/>
        </w:rPr>
        <w:t>周边企业员工及群众1000</w:t>
      </w:r>
      <w:r>
        <w:rPr>
          <w:rFonts w:ascii="仿宋_GB2312" w:hAnsi="华文细黑" w:eastAsia="仿宋_GB2312"/>
          <w:kern w:val="11"/>
          <w:sz w:val="24"/>
          <w:szCs w:val="24"/>
        </w:rPr>
        <w:t>人以上的；</w:t>
      </w:r>
    </w:p>
    <w:p>
      <w:pPr>
        <w:snapToGrid w:val="0"/>
        <w:spacing w:line="360" w:lineRule="auto"/>
        <w:ind w:firstLine="475" w:firstLineChars="198"/>
        <w:rPr>
          <w:rFonts w:ascii="仿宋_GB2312" w:hAnsi="华文细黑" w:eastAsia="仿宋_GB2312"/>
          <w:kern w:val="11"/>
          <w:sz w:val="28"/>
          <w:szCs w:val="28"/>
        </w:rPr>
      </w:pPr>
      <w:r>
        <w:rPr>
          <w:rFonts w:ascii="仿宋_GB2312" w:hAnsi="华文细黑" w:eastAsia="仿宋_GB2312"/>
          <w:kern w:val="11"/>
          <w:sz w:val="24"/>
          <w:szCs w:val="24"/>
        </w:rPr>
        <w:t>（3）因环境污染造成直接经济损失</w:t>
      </w:r>
      <w:r>
        <w:rPr>
          <w:rFonts w:hint="eastAsia" w:ascii="仿宋_GB2312" w:hAnsi="华文细黑" w:eastAsia="仿宋_GB2312"/>
          <w:kern w:val="11"/>
          <w:sz w:val="24"/>
          <w:szCs w:val="24"/>
        </w:rPr>
        <w:t>5000万</w:t>
      </w:r>
      <w:r>
        <w:rPr>
          <w:rFonts w:ascii="仿宋_GB2312" w:hAnsi="华文细黑" w:eastAsia="仿宋_GB2312"/>
          <w:kern w:val="11"/>
          <w:sz w:val="24"/>
          <w:szCs w:val="24"/>
        </w:rPr>
        <w:t>元以上的；</w:t>
      </w:r>
    </w:p>
    <w:p>
      <w:pPr>
        <w:snapToGrid w:val="0"/>
        <w:spacing w:line="360" w:lineRule="auto"/>
        <w:ind w:firstLine="560" w:firstLineChars="200"/>
        <w:outlineLvl w:val="2"/>
        <w:rPr>
          <w:rFonts w:ascii="仿宋_GB2312" w:hAnsi="华文细黑" w:eastAsia="仿宋_GB2312"/>
          <w:sz w:val="28"/>
          <w:szCs w:val="28"/>
        </w:rPr>
      </w:pPr>
      <w:bookmarkStart w:id="21" w:name="_Toc13513"/>
      <w:r>
        <w:rPr>
          <w:rFonts w:hint="eastAsia" w:ascii="仿宋_GB2312" w:hAnsi="华文细黑" w:eastAsia="仿宋_GB2312"/>
          <w:sz w:val="28"/>
          <w:szCs w:val="28"/>
        </w:rPr>
        <w:t>1.4.2较大（Ⅱ级）</w:t>
      </w:r>
      <w:r>
        <w:rPr>
          <w:rFonts w:ascii="仿宋_GB2312" w:hAnsi="华文细黑" w:eastAsia="仿宋_GB2312"/>
          <w:sz w:val="28"/>
          <w:szCs w:val="28"/>
        </w:rPr>
        <w:t>突发环境事件</w:t>
      </w:r>
      <w:bookmarkEnd w:id="21"/>
    </w:p>
    <w:p>
      <w:pPr>
        <w:snapToGrid w:val="0"/>
        <w:spacing w:line="360" w:lineRule="auto"/>
        <w:ind w:firstLine="475" w:firstLineChars="198"/>
        <w:rPr>
          <w:rFonts w:ascii="仿宋_GB2312" w:hAnsi="华文细黑" w:eastAsia="仿宋_GB2312"/>
          <w:kern w:val="11"/>
          <w:sz w:val="24"/>
          <w:szCs w:val="24"/>
        </w:rPr>
      </w:pPr>
      <w:r>
        <w:rPr>
          <w:rFonts w:hint="eastAsia" w:ascii="仿宋_GB2312" w:hAnsi="华文细黑" w:eastAsia="仿宋_GB2312"/>
          <w:kern w:val="11"/>
          <w:sz w:val="24"/>
          <w:szCs w:val="24"/>
        </w:rPr>
        <w:t xml:space="preserve">凡符合下列情形之一的，为重大环境事件： </w:t>
      </w:r>
    </w:p>
    <w:p>
      <w:pPr>
        <w:snapToGrid w:val="0"/>
        <w:spacing w:line="360" w:lineRule="auto"/>
        <w:ind w:firstLine="475" w:firstLineChars="198"/>
        <w:rPr>
          <w:rFonts w:ascii="仿宋_GB2312" w:hAnsi="华文细黑" w:eastAsia="仿宋_GB2312"/>
          <w:kern w:val="11"/>
          <w:sz w:val="24"/>
          <w:szCs w:val="24"/>
        </w:rPr>
      </w:pPr>
      <w:r>
        <w:rPr>
          <w:rFonts w:ascii="仿宋_GB2312" w:hAnsi="华文细黑" w:eastAsia="仿宋_GB2312"/>
          <w:kern w:val="11"/>
          <w:sz w:val="24"/>
          <w:szCs w:val="24"/>
        </w:rPr>
        <w:t>（1）因环境污染直接导致</w:t>
      </w:r>
      <w:r>
        <w:rPr>
          <w:rFonts w:hint="eastAsia" w:ascii="仿宋_GB2312" w:hAnsi="华文细黑" w:eastAsia="仿宋_GB2312"/>
          <w:kern w:val="11"/>
          <w:sz w:val="24"/>
          <w:szCs w:val="24"/>
        </w:rPr>
        <w:t>10</w:t>
      </w:r>
      <w:r>
        <w:rPr>
          <w:rFonts w:ascii="仿宋_GB2312" w:hAnsi="华文细黑" w:eastAsia="仿宋_GB2312"/>
          <w:kern w:val="11"/>
          <w:sz w:val="24"/>
          <w:szCs w:val="24"/>
        </w:rPr>
        <w:t>人以上</w:t>
      </w:r>
      <w:r>
        <w:rPr>
          <w:rFonts w:hint="eastAsia" w:ascii="仿宋_GB2312" w:hAnsi="华文细黑" w:eastAsia="仿宋_GB2312"/>
          <w:kern w:val="11"/>
          <w:sz w:val="24"/>
          <w:szCs w:val="24"/>
        </w:rPr>
        <w:t>30</w:t>
      </w:r>
      <w:r>
        <w:rPr>
          <w:rFonts w:ascii="仿宋_GB2312" w:hAnsi="华文细黑" w:eastAsia="仿宋_GB2312"/>
          <w:kern w:val="11"/>
          <w:sz w:val="24"/>
          <w:szCs w:val="24"/>
        </w:rPr>
        <w:t>人以下中毒的；</w:t>
      </w:r>
    </w:p>
    <w:p>
      <w:pPr>
        <w:snapToGrid w:val="0"/>
        <w:spacing w:line="360" w:lineRule="auto"/>
        <w:ind w:firstLine="475" w:firstLineChars="198"/>
        <w:rPr>
          <w:rFonts w:ascii="仿宋_GB2312" w:hAnsi="华文细黑" w:eastAsia="仿宋_GB2312"/>
          <w:kern w:val="11"/>
          <w:sz w:val="24"/>
          <w:szCs w:val="24"/>
        </w:rPr>
      </w:pPr>
      <w:r>
        <w:rPr>
          <w:rFonts w:ascii="仿宋_GB2312" w:hAnsi="华文细黑" w:eastAsia="仿宋_GB2312"/>
          <w:kern w:val="11"/>
          <w:sz w:val="24"/>
          <w:szCs w:val="24"/>
        </w:rPr>
        <w:t>（2）因环境污染需疏散、转移</w:t>
      </w:r>
      <w:r>
        <w:rPr>
          <w:rFonts w:hint="eastAsia" w:ascii="仿宋_GB2312" w:hAnsi="华文细黑" w:eastAsia="仿宋_GB2312"/>
          <w:kern w:val="11"/>
          <w:sz w:val="24"/>
          <w:szCs w:val="24"/>
        </w:rPr>
        <w:t>本公司员工500</w:t>
      </w:r>
      <w:r>
        <w:rPr>
          <w:rFonts w:ascii="仿宋_GB2312" w:hAnsi="华文细黑" w:eastAsia="仿宋_GB2312"/>
          <w:kern w:val="11"/>
          <w:sz w:val="24"/>
          <w:szCs w:val="24"/>
        </w:rPr>
        <w:t>人以上</w:t>
      </w:r>
      <w:r>
        <w:rPr>
          <w:rFonts w:hint="eastAsia" w:ascii="仿宋_GB2312" w:hAnsi="华文细黑" w:eastAsia="仿宋_GB2312"/>
          <w:kern w:val="11"/>
          <w:sz w:val="24"/>
          <w:szCs w:val="24"/>
        </w:rPr>
        <w:t>1000人以下</w:t>
      </w:r>
      <w:r>
        <w:rPr>
          <w:rFonts w:ascii="仿宋_GB2312" w:hAnsi="华文细黑" w:eastAsia="仿宋_GB2312"/>
          <w:kern w:val="11"/>
          <w:sz w:val="24"/>
          <w:szCs w:val="24"/>
        </w:rPr>
        <w:t>的；</w:t>
      </w:r>
    </w:p>
    <w:p>
      <w:pPr>
        <w:snapToGrid w:val="0"/>
        <w:spacing w:line="360" w:lineRule="auto"/>
        <w:ind w:firstLine="475" w:firstLineChars="198"/>
        <w:rPr>
          <w:rFonts w:ascii="仿宋_GB2312" w:hAnsi="华文细黑" w:eastAsia="仿宋_GB2312"/>
          <w:kern w:val="11"/>
          <w:sz w:val="28"/>
          <w:szCs w:val="28"/>
        </w:rPr>
      </w:pPr>
      <w:r>
        <w:rPr>
          <w:rFonts w:ascii="仿宋_GB2312" w:hAnsi="华文细黑" w:eastAsia="仿宋_GB2312"/>
          <w:kern w:val="11"/>
          <w:sz w:val="24"/>
          <w:szCs w:val="24"/>
        </w:rPr>
        <w:t>（3）因环境污染造成直接经济损失</w:t>
      </w:r>
      <w:r>
        <w:rPr>
          <w:rFonts w:hint="eastAsia" w:ascii="仿宋_GB2312" w:hAnsi="华文细黑" w:eastAsia="仿宋_GB2312"/>
          <w:kern w:val="11"/>
          <w:sz w:val="24"/>
          <w:szCs w:val="24"/>
        </w:rPr>
        <w:t>1000</w:t>
      </w:r>
      <w:r>
        <w:rPr>
          <w:rFonts w:ascii="仿宋_GB2312" w:hAnsi="华文细黑" w:eastAsia="仿宋_GB2312"/>
          <w:kern w:val="11"/>
          <w:sz w:val="24"/>
          <w:szCs w:val="24"/>
        </w:rPr>
        <w:t>万元以上</w:t>
      </w:r>
      <w:r>
        <w:rPr>
          <w:rFonts w:hint="eastAsia" w:ascii="仿宋_GB2312" w:hAnsi="华文细黑" w:eastAsia="仿宋_GB2312"/>
          <w:kern w:val="11"/>
          <w:sz w:val="24"/>
          <w:szCs w:val="24"/>
        </w:rPr>
        <w:t>5000万</w:t>
      </w:r>
      <w:r>
        <w:rPr>
          <w:rFonts w:ascii="仿宋_GB2312" w:hAnsi="华文细黑" w:eastAsia="仿宋_GB2312"/>
          <w:kern w:val="11"/>
          <w:sz w:val="24"/>
          <w:szCs w:val="24"/>
        </w:rPr>
        <w:t>元以下的；</w:t>
      </w:r>
    </w:p>
    <w:p>
      <w:pPr>
        <w:snapToGrid w:val="0"/>
        <w:spacing w:line="360" w:lineRule="auto"/>
        <w:ind w:firstLine="560" w:firstLineChars="200"/>
        <w:outlineLvl w:val="2"/>
        <w:rPr>
          <w:rFonts w:ascii="仿宋_GB2312" w:hAnsi="华文细黑" w:eastAsia="仿宋_GB2312"/>
          <w:sz w:val="28"/>
          <w:szCs w:val="28"/>
        </w:rPr>
      </w:pPr>
      <w:bookmarkStart w:id="22" w:name="_Toc23880"/>
      <w:r>
        <w:rPr>
          <w:rFonts w:hint="eastAsia" w:ascii="仿宋_GB2312" w:hAnsi="华文细黑" w:eastAsia="仿宋_GB2312"/>
          <w:sz w:val="28"/>
          <w:szCs w:val="28"/>
        </w:rPr>
        <w:t>1.4.3一般（Ⅲ级）</w:t>
      </w:r>
      <w:r>
        <w:rPr>
          <w:rFonts w:ascii="仿宋_GB2312" w:hAnsi="华文细黑" w:eastAsia="仿宋_GB2312"/>
          <w:sz w:val="28"/>
          <w:szCs w:val="28"/>
        </w:rPr>
        <w:t>突发环境事件</w:t>
      </w:r>
      <w:bookmarkEnd w:id="22"/>
    </w:p>
    <w:p>
      <w:pPr>
        <w:snapToGrid w:val="0"/>
        <w:spacing w:line="360" w:lineRule="auto"/>
        <w:ind w:firstLine="475" w:firstLineChars="198"/>
        <w:rPr>
          <w:rFonts w:ascii="仿宋_GB2312" w:hAnsi="华文细黑" w:eastAsia="仿宋_GB2312"/>
          <w:sz w:val="28"/>
          <w:szCs w:val="28"/>
        </w:rPr>
      </w:pPr>
      <w:r>
        <w:rPr>
          <w:rFonts w:ascii="仿宋_GB2312" w:hAnsi="华文细黑" w:eastAsia="仿宋_GB2312"/>
          <w:kern w:val="11"/>
          <w:sz w:val="24"/>
          <w:szCs w:val="24"/>
        </w:rPr>
        <w:t>除重大突发环境事件、较大突发环境事件以外的突发环境事件。</w:t>
      </w:r>
    </w:p>
    <w:p>
      <w:pPr>
        <w:snapToGrid w:val="0"/>
        <w:spacing w:line="360" w:lineRule="auto"/>
        <w:ind w:firstLine="560" w:firstLineChars="200"/>
        <w:outlineLvl w:val="1"/>
        <w:rPr>
          <w:rFonts w:ascii="仿宋_GB2312" w:hAnsi="华文细黑" w:eastAsia="仿宋_GB2312"/>
          <w:sz w:val="28"/>
          <w:szCs w:val="28"/>
        </w:rPr>
      </w:pPr>
      <w:bookmarkStart w:id="23" w:name="_Toc2472"/>
      <w:r>
        <w:rPr>
          <w:rFonts w:hint="eastAsia" w:ascii="仿宋_GB2312" w:hAnsi="华文细黑" w:eastAsia="仿宋_GB2312"/>
          <w:sz w:val="28"/>
          <w:szCs w:val="28"/>
        </w:rPr>
        <w:t>1.5 应急预案体系</w:t>
      </w:r>
      <w:bookmarkEnd w:id="17"/>
      <w:bookmarkEnd w:id="18"/>
      <w:bookmarkEnd w:id="19"/>
      <w:bookmarkEnd w:id="23"/>
    </w:p>
    <w:p>
      <w:pPr>
        <w:pStyle w:val="44"/>
        <w:snapToGrid w:val="0"/>
        <w:rPr>
          <w:rFonts w:ascii="仿宋_GB2312" w:hAnsi="Times New Roman" w:eastAsia="仿宋_GB2312"/>
          <w:sz w:val="28"/>
          <w:szCs w:val="28"/>
        </w:rPr>
      </w:pPr>
      <w:r>
        <w:rPr>
          <w:rFonts w:hint="eastAsia" w:ascii="仿宋_GB2312" w:hAnsi="华文细黑" w:eastAsia="仿宋_GB2312"/>
          <w:sz w:val="24"/>
          <w:szCs w:val="24"/>
        </w:rPr>
        <w:t>根据应急救援预案编制导则的规定，结合企业现状，本预案将综合应急预案、专项应急预案合并编写。</w:t>
      </w:r>
    </w:p>
    <w:p>
      <w:pPr>
        <w:snapToGrid w:val="0"/>
        <w:spacing w:line="360" w:lineRule="auto"/>
        <w:ind w:firstLine="560" w:firstLineChars="200"/>
        <w:outlineLvl w:val="1"/>
        <w:rPr>
          <w:rFonts w:ascii="仿宋_GB2312" w:hAnsi="华文细黑" w:eastAsia="仿宋_GB2312"/>
          <w:sz w:val="28"/>
          <w:szCs w:val="28"/>
        </w:rPr>
      </w:pPr>
      <w:bookmarkStart w:id="24" w:name="_Toc224965868"/>
      <w:bookmarkStart w:id="25" w:name="_Toc410289758"/>
      <w:bookmarkStart w:id="26" w:name="_Toc225244051"/>
      <w:bookmarkStart w:id="27" w:name="_Toc10144"/>
      <w:r>
        <w:rPr>
          <w:rFonts w:hint="eastAsia" w:ascii="仿宋_GB2312" w:hAnsi="华文细黑" w:eastAsia="仿宋_GB2312"/>
          <w:sz w:val="28"/>
          <w:szCs w:val="28"/>
        </w:rPr>
        <w:t>1.6 工作原则</w:t>
      </w:r>
      <w:bookmarkEnd w:id="24"/>
      <w:bookmarkEnd w:id="25"/>
      <w:bookmarkEnd w:id="26"/>
      <w:bookmarkEnd w:id="27"/>
    </w:p>
    <w:p>
      <w:pPr>
        <w:snapToGrid w:val="0"/>
        <w:spacing w:line="360" w:lineRule="auto"/>
        <w:ind w:firstLine="475" w:firstLineChars="198"/>
        <w:rPr>
          <w:rFonts w:ascii="仿宋_GB2312" w:hAnsi="华文细黑" w:eastAsia="仿宋_GB2312"/>
          <w:sz w:val="24"/>
          <w:szCs w:val="24"/>
        </w:rPr>
      </w:pPr>
      <w:r>
        <w:rPr>
          <w:rFonts w:hint="eastAsia" w:ascii="仿宋_GB2312" w:hAnsi="华文细黑" w:eastAsia="仿宋_GB2312"/>
          <w:sz w:val="24"/>
          <w:szCs w:val="24"/>
        </w:rPr>
        <w:t xml:space="preserve">公司在建立突发性环境污染事故应急系统及其响应程序时，应本着实事求是、切实可行的方针，贯彻如下原则： </w:t>
      </w:r>
    </w:p>
    <w:p>
      <w:pPr>
        <w:snapToGrid w:val="0"/>
        <w:spacing w:line="360" w:lineRule="auto"/>
        <w:ind w:firstLine="475" w:firstLineChars="198"/>
        <w:rPr>
          <w:rFonts w:ascii="仿宋_GB2312" w:hAnsi="华文细黑" w:eastAsia="仿宋_GB2312"/>
          <w:sz w:val="24"/>
          <w:szCs w:val="24"/>
        </w:rPr>
      </w:pPr>
      <w:r>
        <w:rPr>
          <w:rFonts w:hint="eastAsia" w:ascii="仿宋_GB2312" w:hAnsi="华文细黑" w:eastAsia="仿宋_GB2312"/>
          <w:sz w:val="24"/>
          <w:szCs w:val="24"/>
        </w:rPr>
        <w:t xml:space="preserve">（1）坚持以人为本，预防为主。加强对环境事故危险源的监测、监控并实施监督管理，建立环境事故风险防范体系，积极预防、及时控制、消除隐患，提高突发性环境污染事故防范和处理能力，尽可能地避免或减少突发环境污染事故的发生，消除或减轻环境污染事故造成的中长期影响，最大程度地保障公众健康，保护人民群众生命财产安全。 </w:t>
      </w:r>
    </w:p>
    <w:p>
      <w:pPr>
        <w:snapToGrid w:val="0"/>
        <w:spacing w:line="360" w:lineRule="auto"/>
        <w:ind w:firstLine="355" w:firstLineChars="148"/>
        <w:rPr>
          <w:rFonts w:ascii="仿宋_GB2312" w:hAnsi="华文细黑" w:eastAsia="仿宋_GB2312"/>
          <w:sz w:val="24"/>
          <w:szCs w:val="24"/>
        </w:rPr>
      </w:pPr>
      <w:r>
        <w:rPr>
          <w:rFonts w:hint="eastAsia" w:ascii="仿宋_GB2312" w:hAnsi="华文细黑" w:eastAsia="仿宋_GB2312"/>
          <w:sz w:val="24"/>
          <w:szCs w:val="24"/>
        </w:rPr>
        <w:t xml:space="preserve">（2）坚持统一领导，分类管理，分级响应。接受政府环保部门的指导，使公司的突发性环境污染事故应急系统成为区域系统的有机组成部分。加强公司各部门之间协同与合作，提高快速反应能力。针对不同污染源所造成的环境污染的特点，实行分类管理，充分发挥部门专业优势，使采取的措施与突发环境污染事故造成的危害范围和社会影响相适应。 </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3）坚持平战结合，专兼结合，充分利用现有资源。积极做好应对突发性环境污染事故的思想准备、物资准备、技术准备、工作准备，加强培训演练，应急系统做到常备不懈，可为本公司和其它企业及社会提供服务，在应急时快速有效。</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（4）加强协调，互动外联。公司及有关部门与地方人民政府各部门密切配合，充分有效的利用社会资源，以控制突发环境事件造成的影响和损失。</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（5）依靠科学，依法规范。采用先进技术，充分发挥专家作用，实行科学民主决策。采用先进的应急装备和技术，增强应急反应能力。依法规范应急反应工作，确保应急预案的科学性、权威性和可操作性。</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（6）信息及时、坦诚公众：及时坦诚的面向公众和媒体，在信息不完整的情况下向各层次利益相关方提供阶段性信息，主动联系政府、依靠社会、通过社会资源共同应对危机。</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sz w:val="24"/>
          <w:szCs w:val="24"/>
        </w:rPr>
        <w:t>（7）就近应急，快速反应。紧急状态发生后，各部门应在最短时间内高效率的按本应急预案运作。</w:t>
      </w:r>
    </w:p>
    <w:p>
      <w:pPr>
        <w:snapToGrid w:val="0"/>
        <w:spacing w:line="360" w:lineRule="auto"/>
        <w:jc w:val="center"/>
        <w:outlineLvl w:val="0"/>
        <w:rPr>
          <w:rFonts w:ascii="仿宋_GB2312" w:hAnsi="华文细黑" w:eastAsia="仿宋_GB2312"/>
          <w:b/>
          <w:sz w:val="28"/>
          <w:szCs w:val="28"/>
        </w:rPr>
      </w:pPr>
      <w:bookmarkStart w:id="28" w:name="_Toc224965869"/>
      <w:bookmarkStart w:id="29" w:name="_Toc225244052"/>
      <w:bookmarkStart w:id="30" w:name="_Toc410289759"/>
      <w:r>
        <w:rPr>
          <w:rFonts w:hint="eastAsia" w:ascii="仿宋_GB2312" w:hAnsi="华文细黑" w:eastAsia="仿宋_GB2312"/>
          <w:b/>
          <w:sz w:val="32"/>
          <w:szCs w:val="32"/>
        </w:rPr>
        <w:br w:type="page"/>
      </w:r>
      <w:bookmarkStart w:id="31" w:name="_Toc26210"/>
      <w:r>
        <w:rPr>
          <w:rFonts w:hint="eastAsia" w:ascii="仿宋_GB2312" w:hAnsi="华文细黑" w:eastAsia="仿宋_GB2312"/>
          <w:b/>
          <w:sz w:val="32"/>
          <w:szCs w:val="32"/>
        </w:rPr>
        <w:t>2 企业基本情况</w:t>
      </w:r>
      <w:bookmarkEnd w:id="28"/>
      <w:bookmarkEnd w:id="29"/>
      <w:bookmarkEnd w:id="30"/>
      <w:bookmarkEnd w:id="31"/>
    </w:p>
    <w:p>
      <w:pPr>
        <w:snapToGrid w:val="0"/>
        <w:spacing w:line="360" w:lineRule="auto"/>
        <w:ind w:firstLine="560" w:firstLineChars="200"/>
        <w:outlineLvl w:val="1"/>
        <w:rPr>
          <w:rFonts w:ascii="仿宋_GB2312" w:hAnsi="华文细黑" w:eastAsia="仿宋_GB2312"/>
          <w:sz w:val="28"/>
          <w:szCs w:val="28"/>
        </w:rPr>
      </w:pPr>
      <w:bookmarkStart w:id="32" w:name="_Toc6737"/>
      <w:bookmarkStart w:id="33" w:name="_Toc410289760"/>
      <w:r>
        <w:rPr>
          <w:rFonts w:hint="eastAsia" w:ascii="仿宋_GB2312" w:hAnsi="华文细黑" w:eastAsia="仿宋_GB2312"/>
          <w:sz w:val="28"/>
          <w:szCs w:val="28"/>
        </w:rPr>
        <w:t>2.1企业概况</w:t>
      </w:r>
      <w:bookmarkEnd w:id="32"/>
      <w:bookmarkEnd w:id="33"/>
    </w:p>
    <w:p>
      <w:pPr>
        <w:widowControl/>
        <w:snapToGrid w:val="0"/>
        <w:spacing w:line="360" w:lineRule="auto"/>
        <w:ind w:firstLine="480"/>
        <w:rPr>
          <w:rFonts w:ascii="仿宋" w:hAnsi="仿宋" w:eastAsia="仿宋" w:cs="仿宋"/>
          <w:sz w:val="24"/>
        </w:rPr>
      </w:pPr>
      <w:r>
        <w:rPr>
          <w:rFonts w:hint="eastAsia" w:ascii="仿宋" w:hAnsi="仿宋" w:eastAsia="仿宋" w:cs="仿宋"/>
          <w:color w:val="000000"/>
          <w:sz w:val="24"/>
        </w:rPr>
        <w:t>蓬莱市前卫化工有限公司</w:t>
      </w:r>
      <w:r>
        <w:rPr>
          <w:rFonts w:hint="eastAsia" w:ascii="仿宋" w:hAnsi="仿宋" w:eastAsia="仿宋" w:cs="仿宋"/>
          <w:sz w:val="24"/>
        </w:rPr>
        <w:t>，始建于1972年，原隶属于中国人民解放军济南军区后勤部，名称为中国人民解放军第9740工厂；1988年底移交地方，更名为山东蓬莱前卫染料厂；2001年改制为蓬莱市前卫化工有限公司。</w:t>
      </w:r>
    </w:p>
    <w:p>
      <w:pPr>
        <w:widowControl/>
        <w:snapToGrid w:val="0"/>
        <w:spacing w:line="360" w:lineRule="auto"/>
        <w:ind w:firstLine="480"/>
        <w:rPr>
          <w:rFonts w:ascii="仿宋" w:hAnsi="仿宋" w:eastAsia="仿宋" w:cs="仿宋"/>
          <w:color w:val="000000"/>
          <w:sz w:val="24"/>
        </w:rPr>
      </w:pPr>
      <w:r>
        <w:rPr>
          <w:rFonts w:hint="eastAsia" w:ascii="仿宋" w:hAnsi="仿宋" w:eastAsia="仿宋" w:cs="仿宋"/>
          <w:color w:val="000000"/>
          <w:sz w:val="24"/>
        </w:rPr>
        <w:t>公司原厂区位于蓬莱市沙河路2号，2012年10月进行厂址搬迁，迁至蓬莱市北沟镇化工园区，华盛路西首，华盛路以北，占地面积56969.58m2，地理坐标为北纬N37°43′28.80″ 东经E120°35′52.73″。</w:t>
      </w:r>
    </w:p>
    <w:p>
      <w:pPr>
        <w:widowControl/>
        <w:snapToGrid w:val="0"/>
        <w:spacing w:line="360" w:lineRule="auto"/>
        <w:ind w:firstLine="480"/>
        <w:rPr>
          <w:rFonts w:ascii="仿宋" w:hAnsi="仿宋" w:eastAsia="仿宋" w:cs="仿宋"/>
          <w:spacing w:val="-2"/>
          <w:sz w:val="24"/>
          <w:szCs w:val="24"/>
        </w:rPr>
      </w:pPr>
      <w:r>
        <w:rPr>
          <w:rFonts w:hint="eastAsia" w:ascii="仿宋" w:hAnsi="仿宋" w:eastAsia="仿宋" w:cs="仿宋"/>
          <w:sz w:val="24"/>
        </w:rPr>
        <w:t>公司主要产品及生产能力为：500吨/年间硝基苯甲酸、100吨/年邻氨基苯磺酰N－乙基苯胺、150吨/年2.6二氯-4-氨基苯酚、8吨/年环庚三烯酚酮、2000吨/年2-甲基苯氧乙酸。</w:t>
      </w:r>
    </w:p>
    <w:p>
      <w:pPr>
        <w:widowControl/>
        <w:snapToGrid w:val="0"/>
        <w:spacing w:line="360" w:lineRule="auto"/>
        <w:ind w:firstLine="480" w:firstLineChars="200"/>
        <w:rPr>
          <w:rFonts w:ascii="仿宋" w:hAnsi="仿宋" w:eastAsia="仿宋" w:cs="仿宋"/>
          <w:sz w:val="24"/>
        </w:rPr>
      </w:pPr>
      <w:r>
        <w:rPr>
          <w:rFonts w:hint="eastAsia" w:ascii="仿宋" w:hAnsi="仿宋" w:eastAsia="仿宋" w:cs="仿宋"/>
          <w:sz w:val="24"/>
        </w:rPr>
        <w:t>现有职工135人，其中行政办公人员22人，维修人员13人，一线员工100人。行政办公及维修人员实行长白班工作制，一线员工实行三班制，24小时连续生产，年生产300天，年工作7200小时。</w:t>
      </w:r>
    </w:p>
    <w:p>
      <w:pPr>
        <w:widowControl/>
        <w:snapToGrid w:val="0"/>
        <w:spacing w:line="360" w:lineRule="auto"/>
        <w:ind w:firstLine="480" w:firstLineChars="200"/>
        <w:rPr>
          <w:rFonts w:ascii="仿宋" w:hAnsi="仿宋" w:eastAsia="仿宋" w:cs="仿宋"/>
          <w:spacing w:val="-2"/>
          <w:sz w:val="24"/>
          <w:szCs w:val="24"/>
        </w:rPr>
      </w:pPr>
      <w:r>
        <w:rPr>
          <w:rFonts w:hint="eastAsia" w:ascii="仿宋" w:hAnsi="仿宋" w:eastAsia="仿宋" w:cs="仿宋"/>
          <w:color w:val="000000"/>
          <w:sz w:val="24"/>
        </w:rPr>
        <w:t>公司和全国部分大专院校及科研院所常年合作，具有研发及生产精细化工项目的能力，其生产的染料、农药、医药中间体销往全国各地，部分产品出口到国外及港、澳、台地区。</w:t>
      </w:r>
    </w:p>
    <w:p>
      <w:pPr>
        <w:widowControl/>
        <w:snapToGrid w:val="0"/>
        <w:spacing w:line="360" w:lineRule="auto"/>
        <w:ind w:firstLine="480" w:firstLineChars="200"/>
        <w:rPr>
          <w:sz w:val="24"/>
          <w:szCs w:val="24"/>
        </w:rPr>
      </w:pPr>
      <w:r>
        <w:rPr>
          <w:rFonts w:hint="eastAsia" w:ascii="仿宋" w:hAnsi="仿宋" w:eastAsia="仿宋" w:cs="仿宋"/>
          <w:sz w:val="24"/>
          <w:szCs w:val="24"/>
        </w:rPr>
        <w:t>项目主要包括主体工程、储运工程、公用工程及环保工程，项目组成情况见表2-1。</w:t>
      </w:r>
    </w:p>
    <w:p>
      <w:pPr>
        <w:spacing w:line="360" w:lineRule="auto"/>
        <w:jc w:val="center"/>
        <w:rPr>
          <w:rFonts w:ascii="仿宋" w:hAnsi="仿宋" w:eastAsia="仿宋" w:cs="仿宋"/>
          <w:b/>
          <w:sz w:val="24"/>
          <w:szCs w:val="24"/>
        </w:rPr>
      </w:pPr>
      <w:r>
        <w:rPr>
          <w:rFonts w:hint="eastAsia" w:ascii="仿宋" w:hAnsi="仿宋" w:eastAsia="仿宋" w:cs="仿宋"/>
          <w:b/>
          <w:sz w:val="24"/>
          <w:szCs w:val="24"/>
        </w:rPr>
        <w:t>表2-1    项目组成情况一览表</w:t>
      </w:r>
    </w:p>
    <w:tbl>
      <w:tblPr>
        <w:tblStyle w:val="26"/>
        <w:tblW w:w="10052" w:type="dxa"/>
        <w:jc w:val="center"/>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178"/>
        <w:gridCol w:w="1901"/>
        <w:gridCol w:w="5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4679" w:type="dxa"/>
            <w:gridSpan w:val="3"/>
            <w:vAlign w:val="center"/>
          </w:tcPr>
          <w:p>
            <w:pPr>
              <w:adjustRightInd w:val="0"/>
              <w:jc w:val="center"/>
              <w:rPr>
                <w:rFonts w:ascii="仿宋" w:hAnsi="仿宋" w:eastAsia="仿宋" w:cs="仿宋"/>
                <w:b/>
                <w:kern w:val="2"/>
                <w:sz w:val="21"/>
                <w:szCs w:val="21"/>
              </w:rPr>
            </w:pPr>
            <w:r>
              <w:rPr>
                <w:rFonts w:hint="eastAsia" w:ascii="仿宋" w:hAnsi="仿宋" w:eastAsia="仿宋" w:cs="仿宋"/>
                <w:b/>
                <w:kern w:val="2"/>
                <w:sz w:val="21"/>
                <w:szCs w:val="21"/>
              </w:rPr>
              <w:t>项目组成</w:t>
            </w:r>
          </w:p>
        </w:tc>
        <w:tc>
          <w:tcPr>
            <w:tcW w:w="5373" w:type="dxa"/>
            <w:vAlign w:val="center"/>
          </w:tcPr>
          <w:p>
            <w:pPr>
              <w:adjustRightInd w:val="0"/>
              <w:jc w:val="center"/>
              <w:rPr>
                <w:rFonts w:ascii="仿宋" w:hAnsi="仿宋" w:eastAsia="仿宋" w:cs="仿宋"/>
                <w:b/>
                <w:kern w:val="2"/>
                <w:sz w:val="21"/>
                <w:szCs w:val="21"/>
              </w:rPr>
            </w:pPr>
            <w:r>
              <w:rPr>
                <w:rFonts w:hint="eastAsia" w:ascii="仿宋" w:hAnsi="仿宋" w:eastAsia="仿宋" w:cs="仿宋"/>
                <w:b/>
                <w:kern w:val="2"/>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600" w:type="dxa"/>
            <w:vMerge w:val="restart"/>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主体工程</w:t>
            </w:r>
          </w:p>
        </w:tc>
        <w:tc>
          <w:tcPr>
            <w:tcW w:w="4079"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MNBA、HGSXFT车间</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w:t>
            </w:r>
            <w:r>
              <w:rPr>
                <w:rFonts w:hint="eastAsia" w:ascii="仿宋" w:hAnsi="仿宋" w:eastAsia="仿宋" w:cs="仿宋"/>
                <w:b/>
                <w:kern w:val="2"/>
                <w:sz w:val="21"/>
                <w:szCs w:val="21"/>
              </w:rPr>
              <w:t>间硝基苯甲酸、环庚三烯酚酮</w:t>
            </w:r>
            <w:r>
              <w:rPr>
                <w:rFonts w:hint="eastAsia" w:ascii="仿宋" w:hAnsi="仿宋" w:eastAsia="仿宋" w:cs="仿宋"/>
                <w:kern w:val="2"/>
                <w:sz w:val="21"/>
                <w:szCs w:val="21"/>
              </w:rPr>
              <w:t>）</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3层，53.92 m×15 m  建筑面积2479m</w:t>
            </w:r>
            <w:r>
              <w:rPr>
                <w:rFonts w:hint="eastAsia" w:ascii="仿宋" w:hAnsi="仿宋" w:eastAsia="仿宋" w:cs="仿宋"/>
                <w:kern w:val="2"/>
                <w:sz w:val="21"/>
                <w:szCs w:val="21"/>
                <w:vertAlign w:val="superscript"/>
              </w:rPr>
              <w:t>2</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含降温水池11.99 m×5 m +11.83 m×5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OASE、DCAP车间</w:t>
            </w:r>
          </w:p>
          <w:p>
            <w:pPr>
              <w:jc w:val="center"/>
              <w:rPr>
                <w:rFonts w:ascii="仿宋" w:hAnsi="仿宋" w:eastAsia="仿宋" w:cs="仿宋"/>
                <w:kern w:val="2"/>
                <w:sz w:val="21"/>
                <w:szCs w:val="21"/>
              </w:rPr>
            </w:pPr>
            <w:r>
              <w:rPr>
                <w:rFonts w:hint="eastAsia" w:ascii="仿宋" w:hAnsi="仿宋" w:eastAsia="仿宋" w:cs="仿宋"/>
                <w:kern w:val="2"/>
                <w:sz w:val="21"/>
                <w:szCs w:val="21"/>
              </w:rPr>
              <w:t>（</w:t>
            </w:r>
            <w:r>
              <w:rPr>
                <w:rFonts w:hint="eastAsia" w:ascii="仿宋" w:hAnsi="仿宋" w:eastAsia="仿宋" w:cs="仿宋"/>
                <w:b/>
                <w:kern w:val="2"/>
                <w:sz w:val="21"/>
                <w:szCs w:val="21"/>
              </w:rPr>
              <w:t>邻氨基苯磺酰N-乙基苯胺、2.6-二氯-4-氨基苯酚</w:t>
            </w:r>
            <w:r>
              <w:rPr>
                <w:rFonts w:hint="eastAsia" w:ascii="仿宋" w:hAnsi="仿宋" w:eastAsia="仿宋" w:cs="仿宋"/>
                <w:kern w:val="2"/>
                <w:sz w:val="21"/>
                <w:szCs w:val="21"/>
              </w:rPr>
              <w:t>）</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2层，54 m×15 m  建筑面积1652.6m</w:t>
            </w:r>
            <w:r>
              <w:rPr>
                <w:rFonts w:hint="eastAsia" w:ascii="仿宋" w:hAnsi="仿宋" w:eastAsia="仿宋" w:cs="仿宋"/>
                <w:kern w:val="2"/>
                <w:sz w:val="21"/>
                <w:szCs w:val="21"/>
                <w:vertAlign w:val="superscript"/>
              </w:rPr>
              <w:t>2</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含降温水池6.42 m×5 m、导热油炉房59.65m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SGL车间（2-甲基苯乙酸）</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三层，54.24m×18m占地面积976.32m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建筑面积2928.96m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，钢筋混凝土结构，火灾危险性甲类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SGL干燥车间（2-甲基苯乙酸）</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一层，长18m宽15m，占地面积270m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，建筑面积270m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，钢筋混凝土结构，火灾危险性丙类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辅助工程区</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b w:val="0"/>
                <w:bCs/>
                <w:kern w:val="2"/>
                <w:sz w:val="21"/>
                <w:szCs w:val="21"/>
              </w:rPr>
              <w:t>155.7m</w:t>
            </w:r>
            <w:r>
              <w:rPr>
                <w:rFonts w:hint="eastAsia" w:ascii="仿宋" w:hAnsi="仿宋" w:eastAsia="仿宋" w:cs="仿宋"/>
                <w:b w:val="0"/>
                <w:bCs/>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restart"/>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行政及辅助工程</w:t>
            </w:r>
          </w:p>
        </w:tc>
        <w:tc>
          <w:tcPr>
            <w:tcW w:w="4079" w:type="dxa"/>
            <w:gridSpan w:val="2"/>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技术中心</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3层，建筑面积 1332m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综合楼</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4层，建筑面积  2182m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4079"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宿舍楼</w:t>
            </w:r>
          </w:p>
        </w:tc>
        <w:tc>
          <w:tcPr>
            <w:tcW w:w="5373"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3层，建筑面积 1279m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食堂</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2层，建筑面积407.2m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浴室</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1层，建筑面积70m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控制室、冷冻站</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24.28m×14.21m  建筑面积345m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变配电室</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10.14m×20.1m  建筑面积203.8m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空压站</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20m×16.2m  建筑面积324m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消防泵房</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5.96m×4.87m  建筑面积29m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备用房</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17.92m×5m  建筑面积89.6 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门卫</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6m×4.9m  建筑面积28.8m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厕所</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建筑面积32.55m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犬舍</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建筑面积88.2m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600" w:type="dxa"/>
            <w:vMerge w:val="restart"/>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储运工程</w:t>
            </w: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7274" w:type="dxa"/>
            <w:gridSpan w:val="2"/>
            <w:vAlign w:val="center"/>
          </w:tcPr>
          <w:p>
            <w:pPr>
              <w:adjustRightInd w:val="0"/>
              <w:jc w:val="center"/>
              <w:rPr>
                <w:rFonts w:ascii="仿宋" w:hAnsi="仿宋" w:eastAsia="仿宋" w:cs="仿宋"/>
                <w:kern w:val="2"/>
                <w:sz w:val="21"/>
                <w:szCs w:val="21"/>
                <w:vertAlign w:val="superscript"/>
              </w:rPr>
            </w:pPr>
            <w:r>
              <w:rPr>
                <w:rFonts w:hint="eastAsia" w:ascii="仿宋" w:hAnsi="仿宋" w:eastAsia="仿宋" w:cs="仿宋"/>
                <w:kern w:val="2"/>
                <w:sz w:val="21"/>
                <w:szCs w:val="21"/>
              </w:rPr>
              <w:t>45m×12.5m  建筑面积562.5m</w:t>
            </w:r>
            <w:r>
              <w:rPr>
                <w:rFonts w:hint="eastAsia" w:ascii="仿宋" w:hAnsi="仿宋" w:eastAsia="仿宋" w:cs="仿宋"/>
                <w:kern w:val="2"/>
                <w:sz w:val="21"/>
                <w:szCs w:val="21"/>
                <w:vertAlign w:val="superscript"/>
              </w:rPr>
              <w:t>2</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建设乙醇储罐30m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1个、二氯乙烷储罐30m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1个、硝酸储罐15m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2个、盐酸储罐20m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和30m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各1个、硫酸储罐30m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2个、液碱储罐30m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中间罐区</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长25m宽15m，建筑面积375m</w:t>
            </w:r>
            <w:r>
              <w:rPr>
                <w:rFonts w:hint="eastAsia" w:ascii="仿宋" w:hAnsi="仿宋" w:eastAsia="仿宋" w:cs="仿宋"/>
                <w:kern w:val="2"/>
                <w:sz w:val="21"/>
                <w:szCs w:val="21"/>
                <w:vertAlign w:val="superscript"/>
              </w:rPr>
              <w:t>2</w:t>
            </w:r>
          </w:p>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建设液碱储罐50m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2个、盐酸储罐50m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原料库（甲类）</w:t>
            </w:r>
          </w:p>
          <w:p>
            <w:pPr>
              <w:jc w:val="center"/>
              <w:rPr>
                <w:rFonts w:ascii="仿宋" w:hAnsi="仿宋" w:eastAsia="仿宋" w:cs="仿宋"/>
                <w:kern w:val="2"/>
                <w:sz w:val="21"/>
                <w:szCs w:val="21"/>
              </w:rPr>
            </w:pPr>
            <w:r>
              <w:rPr>
                <w:rFonts w:hint="eastAsia" w:ascii="仿宋" w:hAnsi="仿宋" w:eastAsia="仿宋" w:cs="仿宋"/>
                <w:kern w:val="2"/>
                <w:sz w:val="21"/>
                <w:szCs w:val="21"/>
              </w:rPr>
              <w:t>（内含危废库）</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36.69m×12.36m  建筑面积453.5m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原料库（丙类）</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54.24m×15m  建筑面积813.6m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成品库（丙类）</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6799m</w:t>
            </w:r>
            <w:r>
              <w:rPr>
                <w:rFonts w:hint="eastAsia" w:ascii="仿宋" w:hAnsi="仿宋" w:eastAsia="仿宋" w:cs="仿宋"/>
                <w:kern w:val="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restart"/>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环保工程</w:t>
            </w: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污水处理站</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占地面积1500m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、处理能力500m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/d，含25m</w:t>
            </w:r>
            <w:r>
              <w:rPr>
                <w:rFonts w:hint="eastAsia" w:ascii="仿宋" w:hAnsi="仿宋" w:eastAsia="仿宋" w:cs="仿宋"/>
                <w:kern w:val="2"/>
                <w:sz w:val="21"/>
                <w:szCs w:val="21"/>
                <w:vertAlign w:val="superscript"/>
              </w:rPr>
              <w:t>3</w:t>
            </w:r>
            <w:r>
              <w:rPr>
                <w:rFonts w:hint="eastAsia" w:ascii="仿宋" w:hAnsi="仿宋" w:eastAsia="仿宋" w:cs="仿宋"/>
                <w:kern w:val="2"/>
                <w:sz w:val="21"/>
                <w:szCs w:val="21"/>
              </w:rPr>
              <w:t>石灰水池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消防水池</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17m×17m   容积1156m</w:t>
            </w:r>
            <w:r>
              <w:rPr>
                <w:rFonts w:hint="eastAsia" w:ascii="仿宋" w:hAnsi="仿宋" w:eastAsia="仿宋" w:cs="仿宋"/>
                <w:kern w:val="2"/>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应急水池</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17m×17m   容积1156m</w:t>
            </w:r>
            <w:r>
              <w:rPr>
                <w:rFonts w:hint="eastAsia" w:ascii="仿宋" w:hAnsi="仿宋" w:eastAsia="仿宋" w:cs="仿宋"/>
                <w:kern w:val="2"/>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尾气吸收系统</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两套，降膜碱、活性炭吸收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噪声治理</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隔声、设备减震基础、设置单独操作间等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restart"/>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公用工程</w:t>
            </w: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给水系统</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sz w:val="21"/>
                <w:szCs w:val="21"/>
              </w:rPr>
              <w:t>给水水源来自蓬莱市供水公司，其中，生产水管线接入厂区管径为DN100，生活水管线接入厂区管径为DN100，生产、生活水进入厂区后设水表统一计量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排水系统</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项目排水采用清污分流、雨污分流体制。生产废水、生活污水等经污水处理站处理后，排入北沟镇污水处理厂进一步处理，达标后排入渤海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消防给水系统</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消防用水量为35L/s，消防水池容积1156m</w:t>
            </w:r>
            <w:r>
              <w:rPr>
                <w:rFonts w:hint="eastAsia" w:ascii="仿宋" w:hAnsi="仿宋" w:eastAsia="仿宋" w:cs="仿宋"/>
                <w:kern w:val="2"/>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供电系统</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sz w:val="21"/>
                <w:szCs w:val="21"/>
              </w:rPr>
              <w:t>项目用电全部为低压380／220V负荷，建设一座10/0.4kV变配电室，由蓬莱市供电公司供电，变配电室内设型号为S</w:t>
            </w:r>
            <w:r>
              <w:rPr>
                <w:rFonts w:hint="eastAsia" w:ascii="仿宋" w:hAnsi="仿宋" w:eastAsia="仿宋" w:cs="仿宋"/>
                <w:sz w:val="21"/>
                <w:szCs w:val="21"/>
                <w:vertAlign w:val="subscript"/>
              </w:rPr>
              <w:t>11</w:t>
            </w:r>
            <w:r>
              <w:rPr>
                <w:rFonts w:hint="eastAsia" w:ascii="仿宋" w:hAnsi="仿宋" w:eastAsia="仿宋" w:cs="仿宋"/>
                <w:sz w:val="21"/>
                <w:szCs w:val="21"/>
              </w:rPr>
              <w:t>-630kVA -10/0.4的变压器2台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600" w:type="dxa"/>
            <w:vMerge w:val="continue"/>
            <w:vAlign w:val="center"/>
          </w:tcPr>
          <w:p>
            <w:pPr>
              <w:adjustRightInd w:val="0"/>
              <w:jc w:val="center"/>
              <w:rPr>
                <w:rFonts w:ascii="仿宋" w:hAnsi="仿宋" w:eastAsia="仿宋" w:cs="仿宋"/>
                <w:kern w:val="2"/>
                <w:sz w:val="21"/>
                <w:szCs w:val="21"/>
              </w:rPr>
            </w:pP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采暖供热</w:t>
            </w:r>
          </w:p>
        </w:tc>
        <w:tc>
          <w:tcPr>
            <w:tcW w:w="7274" w:type="dxa"/>
            <w:gridSpan w:val="2"/>
            <w:vAlign w:val="center"/>
          </w:tcPr>
          <w:p>
            <w:pPr>
              <w:adjustRightInd w:val="0"/>
              <w:jc w:val="center"/>
              <w:rPr>
                <w:rFonts w:ascii="仿宋" w:hAnsi="仿宋" w:eastAsia="仿宋" w:cs="仿宋"/>
                <w:sz w:val="21"/>
                <w:szCs w:val="21"/>
              </w:rPr>
            </w:pPr>
            <w:r>
              <w:rPr>
                <w:rFonts w:hint="eastAsia" w:ascii="仿宋" w:hAnsi="仿宋" w:eastAsia="仿宋" w:cs="仿宋"/>
                <w:color w:val="000000"/>
                <w:kern w:val="2"/>
                <w:sz w:val="21"/>
                <w:szCs w:val="21"/>
              </w:rPr>
              <w:t>生产装置区、罐区不设采暖设施。</w:t>
            </w:r>
            <w:r>
              <w:rPr>
                <w:rFonts w:hint="eastAsia" w:ascii="仿宋" w:hAnsi="仿宋" w:eastAsia="仿宋" w:cs="仿宋"/>
                <w:sz w:val="21"/>
                <w:szCs w:val="21"/>
              </w:rPr>
              <w:t>项目所需的热量来源于国电蓬莱公司，蒸汽规格为1.2MPa的饱和蒸汽，供热来源可满足项目的需求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600"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其他</w:t>
            </w:r>
          </w:p>
        </w:tc>
        <w:tc>
          <w:tcPr>
            <w:tcW w:w="2178" w:type="dxa"/>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绿化</w:t>
            </w:r>
          </w:p>
        </w:tc>
        <w:tc>
          <w:tcPr>
            <w:tcW w:w="7274" w:type="dxa"/>
            <w:gridSpan w:val="2"/>
            <w:vAlign w:val="center"/>
          </w:tcPr>
          <w:p>
            <w:pPr>
              <w:adjustRightInd w:val="0"/>
              <w:jc w:val="center"/>
              <w:rPr>
                <w:rFonts w:ascii="仿宋" w:hAnsi="仿宋" w:eastAsia="仿宋" w:cs="仿宋"/>
                <w:kern w:val="2"/>
                <w:sz w:val="21"/>
                <w:szCs w:val="21"/>
              </w:rPr>
            </w:pPr>
            <w:r>
              <w:rPr>
                <w:rFonts w:hint="eastAsia" w:ascii="仿宋" w:hAnsi="仿宋" w:eastAsia="仿宋" w:cs="仿宋"/>
                <w:kern w:val="2"/>
                <w:sz w:val="21"/>
                <w:szCs w:val="21"/>
              </w:rPr>
              <w:t>绿化面积5690m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，绿化率10.6%</w:t>
            </w:r>
          </w:p>
        </w:tc>
      </w:tr>
    </w:tbl>
    <w:p>
      <w:pPr>
        <w:snapToGrid w:val="0"/>
        <w:spacing w:line="360" w:lineRule="auto"/>
        <w:ind w:firstLine="475" w:firstLineChars="198"/>
        <w:rPr>
          <w:rFonts w:ascii="仿宋_GB2312" w:hAnsi="宋体" w:eastAsia="仿宋_GB2312" w:cs="宋体"/>
          <w:sz w:val="28"/>
          <w:szCs w:val="28"/>
        </w:rPr>
      </w:pPr>
      <w:r>
        <w:rPr>
          <w:rFonts w:hint="eastAsia" w:ascii="仿宋_GB2312" w:hAnsi="华文细黑" w:eastAsia="仿宋_GB2312"/>
          <w:sz w:val="24"/>
          <w:szCs w:val="24"/>
        </w:rPr>
        <w:t>公司地理位置见附件1；平面布置图见附件2。</w:t>
      </w:r>
    </w:p>
    <w:p>
      <w:pPr>
        <w:snapToGrid w:val="0"/>
        <w:spacing w:line="360" w:lineRule="auto"/>
        <w:ind w:firstLine="560" w:firstLineChars="200"/>
        <w:outlineLvl w:val="1"/>
        <w:rPr>
          <w:rFonts w:ascii="仿宋_GB2312" w:hAnsi="华文细黑" w:eastAsia="仿宋_GB2312"/>
          <w:sz w:val="28"/>
          <w:szCs w:val="28"/>
        </w:rPr>
      </w:pPr>
      <w:bookmarkStart w:id="34" w:name="_Toc16209"/>
      <w:bookmarkStart w:id="35" w:name="_Toc410289761"/>
      <w:r>
        <w:rPr>
          <w:rFonts w:hint="eastAsia" w:ascii="仿宋_GB2312" w:hAnsi="华文细黑" w:eastAsia="仿宋_GB2312"/>
          <w:sz w:val="28"/>
          <w:szCs w:val="28"/>
        </w:rPr>
        <w:t>2.2环境风险源基本情况</w:t>
      </w:r>
      <w:bookmarkEnd w:id="34"/>
    </w:p>
    <w:p>
      <w:pPr>
        <w:snapToGrid w:val="0"/>
        <w:spacing w:line="360" w:lineRule="auto"/>
        <w:ind w:firstLine="560" w:firstLineChars="200"/>
        <w:outlineLvl w:val="2"/>
        <w:rPr>
          <w:rFonts w:ascii="仿宋_GB2312" w:hAnsi="华文细黑" w:eastAsia="仿宋_GB2312"/>
          <w:sz w:val="28"/>
          <w:szCs w:val="28"/>
        </w:rPr>
      </w:pPr>
      <w:bookmarkStart w:id="36" w:name="_Toc6548"/>
      <w:r>
        <w:rPr>
          <w:rFonts w:hint="eastAsia" w:ascii="仿宋_GB2312" w:hAnsi="华文细黑" w:eastAsia="仿宋_GB2312"/>
          <w:sz w:val="28"/>
          <w:szCs w:val="28"/>
        </w:rPr>
        <w:t>2.2.1生产原辅料及产品情况</w:t>
      </w:r>
      <w:bookmarkEnd w:id="36"/>
    </w:p>
    <w:p>
      <w:pPr>
        <w:adjustRightInd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公司现有三个生产车间，分别为综合车间（MNBA、HGSXFT车间）、精华车间（OASE、DCAP车间）和SGL车间。综合车间主要生产间硝基苯甲酸、环庚三烯酚酮；精华车间主要生产邻氨基苯磺酰N-乙基苯胺、2.6-二氯-4—氨基苯酚；SGL车间主要生产2-甲基苯乙酸。</w:t>
      </w:r>
    </w:p>
    <w:p>
      <w:pPr>
        <w:pStyle w:val="5"/>
        <w:adjustRightInd w:val="0"/>
        <w:snapToGrid w:val="0"/>
        <w:spacing w:after="0"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原辅料消耗情况见表2-2；</w:t>
      </w:r>
    </w:p>
    <w:p>
      <w:pPr>
        <w:pStyle w:val="5"/>
        <w:adjustRightInd w:val="0"/>
        <w:snapToGrid w:val="0"/>
        <w:spacing w:after="0" w:line="360" w:lineRule="auto"/>
        <w:ind w:firstLine="0" w:firstLineChars="0"/>
        <w:rPr>
          <w:rFonts w:ascii="仿宋_GB2312" w:hAnsi="宋体" w:eastAsia="仿宋_GB2312"/>
          <w:sz w:val="24"/>
          <w:szCs w:val="24"/>
        </w:rPr>
      </w:pPr>
      <w:r>
        <w:rPr>
          <w:rFonts w:hint="eastAsia" w:ascii="仿宋_GB2312" w:hAnsi="宋体" w:eastAsia="仿宋_GB2312"/>
          <w:sz w:val="24"/>
          <w:szCs w:val="24"/>
        </w:rPr>
        <w:t xml:space="preserve">    产品情况见表2-3；</w:t>
      </w:r>
    </w:p>
    <w:p>
      <w:pPr>
        <w:tabs>
          <w:tab w:val="left" w:pos="5880"/>
        </w:tabs>
        <w:snapToGrid w:val="0"/>
        <w:spacing w:line="360" w:lineRule="auto"/>
        <w:ind w:firstLine="482"/>
        <w:jc w:val="center"/>
        <w:rPr>
          <w:rFonts w:ascii="仿宋" w:hAnsi="仿宋" w:eastAsia="仿宋" w:cs="仿宋"/>
          <w:b/>
          <w:sz w:val="24"/>
          <w:szCs w:val="24"/>
        </w:rPr>
      </w:pPr>
      <w:r>
        <w:rPr>
          <w:rFonts w:hint="eastAsia" w:ascii="仿宋" w:hAnsi="仿宋" w:eastAsia="仿宋" w:cs="仿宋"/>
          <w:b/>
          <w:sz w:val="24"/>
          <w:szCs w:val="24"/>
        </w:rPr>
        <w:t>表2-2主要原辅料消耗</w:t>
      </w:r>
    </w:p>
    <w:tbl>
      <w:tblPr>
        <w:tblStyle w:val="26"/>
        <w:tblW w:w="9443" w:type="dxa"/>
        <w:jc w:val="center"/>
        <w:tblInd w:w="0" w:type="dxa"/>
        <w:tblLayout w:type="fixed"/>
        <w:tblCellMar>
          <w:top w:w="0" w:type="dxa"/>
          <w:left w:w="108" w:type="dxa"/>
          <w:bottom w:w="0" w:type="dxa"/>
          <w:right w:w="108" w:type="dxa"/>
        </w:tblCellMar>
      </w:tblPr>
      <w:tblGrid>
        <w:gridCol w:w="1915"/>
        <w:gridCol w:w="1276"/>
        <w:gridCol w:w="1276"/>
        <w:gridCol w:w="1706"/>
        <w:gridCol w:w="952"/>
        <w:gridCol w:w="1328"/>
        <w:gridCol w:w="12"/>
        <w:gridCol w:w="978"/>
      </w:tblGrid>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原料名称</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使用量吨/a</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最大储存量</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包装方式及规格</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状态</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储存位置</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责任人</w:t>
            </w:r>
          </w:p>
        </w:tc>
      </w:tr>
      <w:tr>
        <w:tblPrEx>
          <w:tblLayout w:type="fixed"/>
          <w:tblCellMar>
            <w:top w:w="0" w:type="dxa"/>
            <w:left w:w="108" w:type="dxa"/>
            <w:bottom w:w="0" w:type="dxa"/>
            <w:right w:w="108" w:type="dxa"/>
          </w:tblCellMar>
        </w:tblPrEx>
        <w:trPr>
          <w:trHeight w:val="397" w:hRule="atLeast"/>
          <w:jc w:val="center"/>
        </w:trPr>
        <w:tc>
          <w:tcPr>
            <w:tcW w:w="9443"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环庚三烯酚酮</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二聚环戊二烯（98%）</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180Kg铁桶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二氯乙酰氯（99%）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12t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250Kg塑料桶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正己烷（99.5%）</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200L铁桶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三乙胺（98.5%）</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140Kg铁桶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液碱（32%）</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片碱（99%）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25Kg编织袋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二氯甲烷（99%）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9443"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盐酸（30%）</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7t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硫化料</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40t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4t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25kg塑编袋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催化剂1</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100kg</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液氯</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60t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0</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钢瓶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气体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液氯仓库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降膜碱（30%）</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60t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纯碱（99%）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6t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25kg塑编袋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N-乙基苯胺</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环己烷</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催化剂2</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50kg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10kg</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氮气</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24kg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0</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管道</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气体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氢气</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140kg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0</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管道</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气体</w:t>
            </w:r>
          </w:p>
        </w:tc>
        <w:tc>
          <w:tcPr>
            <w:tcW w:w="132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9443"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kern w:val="2"/>
                <w:sz w:val="21"/>
                <w:szCs w:val="21"/>
              </w:rPr>
              <w:t>2.6-二氯-4—氨基苯酚</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2.6-二氯苯酚（98%）</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二氯甲烷（99%）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硝酸（98%）</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75t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乙醇（95%）</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Pd/C催化剂</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5kg</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氮气</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600kg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0</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管道</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气体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氢气</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2500kg</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0</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管道</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气体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397" w:hRule="atLeast"/>
          <w:jc w:val="center"/>
        </w:trPr>
        <w:tc>
          <w:tcPr>
            <w:tcW w:w="94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间硝基苯甲酸</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硫酸（98%）</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350t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苯甲酸（99%）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25kg塑编袋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硝酸（98%）</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120t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液碱（32%）</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250t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活性炭</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20kg塑编袋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固体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397" w:hRule="atLeast"/>
          <w:jc w:val="center"/>
        </w:trPr>
        <w:tc>
          <w:tcPr>
            <w:tcW w:w="9443"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2-甲基苯氧乙酸</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邻苯甲酚（99%）</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1600t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200kg铁桶</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结晶</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原料库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孙行用</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氯乙酸（97%）</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1560t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50kg编织袋</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结晶</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危化品仓库</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孙行用</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液碱（32%）</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3600t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孙行用</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二氯乙烷（99.5%）</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甲类罐区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孙行用</w:t>
            </w:r>
          </w:p>
        </w:tc>
      </w:tr>
      <w:tr>
        <w:tblPrEx>
          <w:tblLayout w:type="fixed"/>
          <w:tblCellMar>
            <w:top w:w="0" w:type="dxa"/>
            <w:left w:w="108" w:type="dxa"/>
            <w:bottom w:w="0" w:type="dxa"/>
            <w:right w:w="108" w:type="dxa"/>
          </w:tblCellMar>
        </w:tblPrEx>
        <w:trPr>
          <w:trHeight w:val="397" w:hRule="atLeast"/>
          <w:jc w:val="center"/>
        </w:trPr>
        <w:tc>
          <w:tcPr>
            <w:tcW w:w="191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盐酸（31%）</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2600t</w:t>
            </w:r>
          </w:p>
        </w:tc>
        <w:tc>
          <w:tcPr>
            <w:tcW w:w="127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20t</w:t>
            </w:r>
          </w:p>
        </w:tc>
        <w:tc>
          <w:tcPr>
            <w:tcW w:w="170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color w:val="FF0000"/>
                <w:kern w:val="2"/>
                <w:sz w:val="21"/>
                <w:szCs w:val="21"/>
              </w:rPr>
            </w:pPr>
            <w:r>
              <w:rPr>
                <w:rFonts w:hint="eastAsia" w:ascii="仿宋" w:hAnsi="仿宋" w:eastAsia="仿宋" w:cs="仿宋"/>
                <w:kern w:val="2"/>
                <w:sz w:val="21"/>
                <w:szCs w:val="21"/>
              </w:rPr>
              <w:t>储罐</w:t>
            </w:r>
          </w:p>
        </w:tc>
        <w:tc>
          <w:tcPr>
            <w:tcW w:w="952"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液体</w:t>
            </w:r>
          </w:p>
        </w:tc>
        <w:tc>
          <w:tcPr>
            <w:tcW w:w="1340"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中间罐区</w:t>
            </w:r>
          </w:p>
        </w:tc>
        <w:tc>
          <w:tcPr>
            <w:tcW w:w="978"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kern w:val="2"/>
                <w:sz w:val="21"/>
                <w:szCs w:val="21"/>
              </w:rPr>
              <w:t>孙行用</w:t>
            </w:r>
          </w:p>
        </w:tc>
      </w:tr>
    </w:tbl>
    <w:p>
      <w:pPr>
        <w:tabs>
          <w:tab w:val="left" w:pos="5880"/>
        </w:tabs>
        <w:snapToGrid w:val="0"/>
        <w:spacing w:line="360" w:lineRule="auto"/>
        <w:rPr>
          <w:rFonts w:ascii="仿宋" w:hAnsi="仿宋" w:eastAsia="仿宋" w:cs="仿宋"/>
          <w:b/>
          <w:sz w:val="24"/>
          <w:szCs w:val="24"/>
        </w:rPr>
      </w:pPr>
    </w:p>
    <w:p>
      <w:pPr>
        <w:tabs>
          <w:tab w:val="left" w:pos="5880"/>
        </w:tabs>
        <w:snapToGrid w:val="0"/>
        <w:spacing w:line="360" w:lineRule="auto"/>
        <w:jc w:val="center"/>
        <w:rPr>
          <w:rFonts w:eastAsia="黑体"/>
          <w:b/>
          <w:sz w:val="24"/>
          <w:szCs w:val="24"/>
        </w:rPr>
      </w:pPr>
      <w:r>
        <w:rPr>
          <w:rFonts w:hint="eastAsia" w:ascii="仿宋" w:hAnsi="仿宋" w:eastAsia="仿宋" w:cs="仿宋"/>
          <w:b/>
          <w:sz w:val="24"/>
          <w:szCs w:val="24"/>
        </w:rPr>
        <w:t>表2-3 产品情况汇总表</w:t>
      </w:r>
    </w:p>
    <w:tbl>
      <w:tblPr>
        <w:tblStyle w:val="26"/>
        <w:tblW w:w="9180" w:type="dxa"/>
        <w:jc w:val="center"/>
        <w:tblInd w:w="-768" w:type="dxa"/>
        <w:tblLayout w:type="fixed"/>
        <w:tblCellMar>
          <w:top w:w="0" w:type="dxa"/>
          <w:left w:w="108" w:type="dxa"/>
          <w:bottom w:w="0" w:type="dxa"/>
          <w:right w:w="108" w:type="dxa"/>
        </w:tblCellMar>
      </w:tblPr>
      <w:tblGrid>
        <w:gridCol w:w="1753"/>
        <w:gridCol w:w="1193"/>
        <w:gridCol w:w="1480"/>
        <w:gridCol w:w="2259"/>
        <w:gridCol w:w="1197"/>
        <w:gridCol w:w="1298"/>
      </w:tblGrid>
      <w:tr>
        <w:tblPrEx>
          <w:tblLayout w:type="fixed"/>
          <w:tblCellMar>
            <w:top w:w="0" w:type="dxa"/>
            <w:left w:w="108" w:type="dxa"/>
            <w:bottom w:w="0" w:type="dxa"/>
            <w:right w:w="108" w:type="dxa"/>
          </w:tblCellMar>
        </w:tblPrEx>
        <w:trPr>
          <w:trHeight w:val="431" w:hRule="atLeast"/>
          <w:jc w:val="center"/>
        </w:trPr>
        <w:tc>
          <w:tcPr>
            <w:tcW w:w="17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分类</w:t>
            </w:r>
          </w:p>
        </w:tc>
        <w:tc>
          <w:tcPr>
            <w:tcW w:w="1193" w:type="dxa"/>
            <w:tcBorders>
              <w:top w:val="single" w:color="auto" w:sz="4" w:space="0"/>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年规模</w:t>
            </w:r>
          </w:p>
        </w:tc>
        <w:tc>
          <w:tcPr>
            <w:tcW w:w="1480" w:type="dxa"/>
            <w:tcBorders>
              <w:top w:val="single" w:color="auto" w:sz="4" w:space="0"/>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最大储存量</w:t>
            </w:r>
          </w:p>
        </w:tc>
        <w:tc>
          <w:tcPr>
            <w:tcW w:w="2259" w:type="dxa"/>
            <w:tcBorders>
              <w:top w:val="single" w:color="auto" w:sz="4" w:space="0"/>
              <w:left w:val="nil"/>
              <w:bottom w:val="single" w:color="auto" w:sz="4" w:space="0"/>
              <w:right w:val="single" w:color="auto" w:sz="4" w:space="0"/>
            </w:tcBorders>
            <w:shd w:val="clear" w:color="auto" w:fill="auto"/>
            <w:vAlign w:val="center"/>
          </w:tcPr>
          <w:p>
            <w:pPr>
              <w:widowControl/>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包装方式及规格</w:t>
            </w:r>
          </w:p>
        </w:tc>
        <w:tc>
          <w:tcPr>
            <w:tcW w:w="1197" w:type="dxa"/>
            <w:tcBorders>
              <w:top w:val="single" w:color="auto" w:sz="4" w:space="0"/>
              <w:left w:val="nil"/>
              <w:bottom w:val="single" w:color="auto" w:sz="4" w:space="0"/>
              <w:right w:val="single" w:color="auto" w:sz="4" w:space="0"/>
            </w:tcBorders>
            <w:shd w:val="clear" w:color="auto" w:fill="auto"/>
          </w:tcPr>
          <w:p>
            <w:pPr>
              <w:widowControl/>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储存位置</w:t>
            </w:r>
          </w:p>
        </w:tc>
        <w:tc>
          <w:tcPr>
            <w:tcW w:w="1298" w:type="dxa"/>
            <w:tcBorders>
              <w:top w:val="single" w:color="auto" w:sz="4" w:space="0"/>
              <w:left w:val="nil"/>
              <w:bottom w:val="single" w:color="auto" w:sz="4" w:space="0"/>
              <w:right w:val="single" w:color="auto" w:sz="4" w:space="0"/>
            </w:tcBorders>
            <w:shd w:val="clear" w:color="auto" w:fill="auto"/>
          </w:tcPr>
          <w:p>
            <w:pPr>
              <w:widowControl/>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责任人</w:t>
            </w:r>
          </w:p>
        </w:tc>
      </w:tr>
      <w:tr>
        <w:tblPrEx>
          <w:tblLayout w:type="fixed"/>
          <w:tblCellMar>
            <w:top w:w="0" w:type="dxa"/>
            <w:left w:w="108" w:type="dxa"/>
            <w:bottom w:w="0" w:type="dxa"/>
            <w:right w:w="108" w:type="dxa"/>
          </w:tblCellMar>
        </w:tblPrEx>
        <w:trPr>
          <w:trHeight w:val="494" w:hRule="atLeast"/>
          <w:jc w:val="center"/>
        </w:trPr>
        <w:tc>
          <w:tcPr>
            <w:tcW w:w="1753" w:type="dxa"/>
            <w:tcBorders>
              <w:top w:val="nil"/>
              <w:left w:val="single" w:color="auto" w:sz="4" w:space="0"/>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环庚三烯酚酮</w:t>
            </w:r>
          </w:p>
        </w:tc>
        <w:tc>
          <w:tcPr>
            <w:tcW w:w="1193" w:type="dxa"/>
            <w:tcBorders>
              <w:top w:val="nil"/>
              <w:left w:val="nil"/>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8t/a</w:t>
            </w:r>
          </w:p>
        </w:tc>
        <w:tc>
          <w:tcPr>
            <w:tcW w:w="1480" w:type="dxa"/>
            <w:tcBorders>
              <w:top w:val="nil"/>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1t</w:t>
            </w:r>
          </w:p>
        </w:tc>
        <w:tc>
          <w:tcPr>
            <w:tcW w:w="2259"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25kg塑料桶</w:t>
            </w:r>
          </w:p>
        </w:tc>
        <w:tc>
          <w:tcPr>
            <w:tcW w:w="1197" w:type="dxa"/>
            <w:vMerge w:val="restart"/>
            <w:tcBorders>
              <w:top w:val="nil"/>
              <w:left w:val="nil"/>
              <w:right w:val="single" w:color="auto" w:sz="4" w:space="0"/>
            </w:tcBorders>
            <w:shd w:val="clear" w:color="auto" w:fill="auto"/>
            <w:vAlign w:val="center"/>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成品库</w:t>
            </w:r>
          </w:p>
        </w:tc>
        <w:tc>
          <w:tcPr>
            <w:tcW w:w="1298"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653" w:hRule="atLeast"/>
          <w:jc w:val="center"/>
        </w:trPr>
        <w:tc>
          <w:tcPr>
            <w:tcW w:w="1753" w:type="dxa"/>
            <w:tcBorders>
              <w:top w:val="nil"/>
              <w:left w:val="single" w:color="auto" w:sz="4" w:space="0"/>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c>
          <w:tcPr>
            <w:tcW w:w="1193" w:type="dxa"/>
            <w:tcBorders>
              <w:top w:val="nil"/>
              <w:left w:val="nil"/>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100 t/a</w:t>
            </w:r>
          </w:p>
        </w:tc>
        <w:tc>
          <w:tcPr>
            <w:tcW w:w="1480" w:type="dxa"/>
            <w:tcBorders>
              <w:top w:val="nil"/>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10t</w:t>
            </w:r>
          </w:p>
        </w:tc>
        <w:tc>
          <w:tcPr>
            <w:tcW w:w="2259"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25kg纸板桶</w:t>
            </w:r>
          </w:p>
        </w:tc>
        <w:tc>
          <w:tcPr>
            <w:tcW w:w="1197" w:type="dxa"/>
            <w:vMerge w:val="continue"/>
            <w:tcBorders>
              <w:left w:val="nil"/>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p>
        </w:tc>
        <w:tc>
          <w:tcPr>
            <w:tcW w:w="1298"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653" w:hRule="atLeast"/>
          <w:jc w:val="center"/>
        </w:trPr>
        <w:tc>
          <w:tcPr>
            <w:tcW w:w="1753" w:type="dxa"/>
            <w:tcBorders>
              <w:top w:val="nil"/>
              <w:left w:val="single" w:color="auto" w:sz="4" w:space="0"/>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2.6-二氯-4—氨基苯酚</w:t>
            </w:r>
          </w:p>
        </w:tc>
        <w:tc>
          <w:tcPr>
            <w:tcW w:w="1193" w:type="dxa"/>
            <w:tcBorders>
              <w:top w:val="nil"/>
              <w:left w:val="nil"/>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150 t/a</w:t>
            </w:r>
          </w:p>
        </w:tc>
        <w:tc>
          <w:tcPr>
            <w:tcW w:w="1480" w:type="dxa"/>
            <w:tcBorders>
              <w:top w:val="nil"/>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12t</w:t>
            </w:r>
          </w:p>
        </w:tc>
        <w:tc>
          <w:tcPr>
            <w:tcW w:w="2259"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40kg编织袋</w:t>
            </w:r>
          </w:p>
        </w:tc>
        <w:tc>
          <w:tcPr>
            <w:tcW w:w="1197" w:type="dxa"/>
            <w:vMerge w:val="continue"/>
            <w:tcBorders>
              <w:left w:val="nil"/>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p>
        </w:tc>
        <w:tc>
          <w:tcPr>
            <w:tcW w:w="1298"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kern w:val="2"/>
                <w:sz w:val="21"/>
                <w:szCs w:val="21"/>
              </w:rPr>
              <w:t>孙涛</w:t>
            </w:r>
          </w:p>
        </w:tc>
      </w:tr>
      <w:tr>
        <w:tblPrEx>
          <w:tblLayout w:type="fixed"/>
          <w:tblCellMar>
            <w:top w:w="0" w:type="dxa"/>
            <w:left w:w="108" w:type="dxa"/>
            <w:bottom w:w="0" w:type="dxa"/>
            <w:right w:w="108" w:type="dxa"/>
          </w:tblCellMar>
        </w:tblPrEx>
        <w:trPr>
          <w:trHeight w:val="494" w:hRule="atLeast"/>
          <w:jc w:val="center"/>
        </w:trPr>
        <w:tc>
          <w:tcPr>
            <w:tcW w:w="1753" w:type="dxa"/>
            <w:tcBorders>
              <w:top w:val="nil"/>
              <w:left w:val="single" w:color="auto" w:sz="4" w:space="0"/>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间硝基苯甲酸</w:t>
            </w:r>
          </w:p>
        </w:tc>
        <w:tc>
          <w:tcPr>
            <w:tcW w:w="1193" w:type="dxa"/>
            <w:tcBorders>
              <w:top w:val="nil"/>
              <w:left w:val="nil"/>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500 t/a</w:t>
            </w:r>
          </w:p>
        </w:tc>
        <w:tc>
          <w:tcPr>
            <w:tcW w:w="1480" w:type="dxa"/>
            <w:tcBorders>
              <w:top w:val="nil"/>
              <w:left w:val="nil"/>
              <w:bottom w:val="single" w:color="auto" w:sz="4" w:space="0"/>
              <w:right w:val="single" w:color="auto" w:sz="4" w:space="0"/>
            </w:tcBorders>
            <w:shd w:val="clear" w:color="auto" w:fill="auto"/>
            <w:vAlign w:val="center"/>
          </w:tcPr>
          <w:p>
            <w:pPr>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40t</w:t>
            </w:r>
          </w:p>
        </w:tc>
        <w:tc>
          <w:tcPr>
            <w:tcW w:w="2259"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25kg编织袋、纸板桶</w:t>
            </w:r>
          </w:p>
        </w:tc>
        <w:tc>
          <w:tcPr>
            <w:tcW w:w="1197" w:type="dxa"/>
            <w:vMerge w:val="continue"/>
            <w:tcBorders>
              <w:left w:val="nil"/>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p>
        </w:tc>
        <w:tc>
          <w:tcPr>
            <w:tcW w:w="1298"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kern w:val="2"/>
                <w:sz w:val="21"/>
                <w:szCs w:val="21"/>
              </w:rPr>
              <w:t>谢爱田</w:t>
            </w:r>
          </w:p>
        </w:tc>
      </w:tr>
      <w:tr>
        <w:tblPrEx>
          <w:tblLayout w:type="fixed"/>
          <w:tblCellMar>
            <w:top w:w="0" w:type="dxa"/>
            <w:left w:w="108" w:type="dxa"/>
            <w:bottom w:w="0" w:type="dxa"/>
            <w:right w:w="108" w:type="dxa"/>
          </w:tblCellMar>
        </w:tblPrEx>
        <w:trPr>
          <w:trHeight w:val="571" w:hRule="atLeast"/>
          <w:jc w:val="center"/>
        </w:trPr>
        <w:tc>
          <w:tcPr>
            <w:tcW w:w="1753"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仿宋"/>
                <w:kern w:val="2"/>
                <w:sz w:val="21"/>
                <w:szCs w:val="21"/>
              </w:rPr>
            </w:pPr>
            <w:r>
              <w:rPr>
                <w:rFonts w:hint="eastAsia" w:ascii="仿宋" w:hAnsi="仿宋" w:eastAsia="仿宋" w:cs="仿宋"/>
                <w:kern w:val="2"/>
                <w:sz w:val="21"/>
                <w:szCs w:val="21"/>
              </w:rPr>
              <w:t>2-甲基苯氧乙酸</w:t>
            </w:r>
          </w:p>
        </w:tc>
        <w:tc>
          <w:tcPr>
            <w:tcW w:w="1193" w:type="dxa"/>
            <w:tcBorders>
              <w:top w:val="nil"/>
              <w:left w:val="nil"/>
              <w:bottom w:val="single" w:color="auto" w:sz="4" w:space="0"/>
              <w:right w:val="single" w:color="auto" w:sz="4" w:space="0"/>
            </w:tcBorders>
            <w:shd w:val="clear" w:color="auto" w:fill="auto"/>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2000t/a</w:t>
            </w:r>
          </w:p>
        </w:tc>
        <w:tc>
          <w:tcPr>
            <w:tcW w:w="1480" w:type="dxa"/>
            <w:tcBorders>
              <w:top w:val="nil"/>
              <w:left w:val="nil"/>
              <w:bottom w:val="single" w:color="auto" w:sz="4" w:space="0"/>
              <w:right w:val="single" w:color="auto" w:sz="4" w:space="0"/>
            </w:tcBorders>
            <w:shd w:val="clear" w:color="auto" w:fill="auto"/>
            <w:vAlign w:val="center"/>
          </w:tcPr>
          <w:p>
            <w:pPr>
              <w:widowControl/>
              <w:adjustRightInd w:val="0"/>
              <w:spacing w:line="312" w:lineRule="atLeast"/>
              <w:jc w:val="center"/>
              <w:rPr>
                <w:rFonts w:ascii="仿宋" w:hAnsi="仿宋" w:eastAsia="仿宋" w:cs="仿宋"/>
                <w:kern w:val="2"/>
                <w:sz w:val="21"/>
                <w:szCs w:val="21"/>
              </w:rPr>
            </w:pPr>
            <w:r>
              <w:rPr>
                <w:rFonts w:hint="eastAsia" w:ascii="仿宋" w:hAnsi="仿宋" w:eastAsia="仿宋" w:cs="仿宋"/>
                <w:kern w:val="2"/>
                <w:sz w:val="21"/>
                <w:szCs w:val="21"/>
              </w:rPr>
              <w:t>150t</w:t>
            </w:r>
          </w:p>
        </w:tc>
        <w:tc>
          <w:tcPr>
            <w:tcW w:w="2259"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bCs/>
                <w:kern w:val="2"/>
                <w:sz w:val="21"/>
                <w:szCs w:val="21"/>
              </w:rPr>
              <w:t>25kg编织袋</w:t>
            </w:r>
          </w:p>
        </w:tc>
        <w:tc>
          <w:tcPr>
            <w:tcW w:w="1197" w:type="dxa"/>
            <w:vMerge w:val="continue"/>
            <w:tcBorders>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p>
        </w:tc>
        <w:tc>
          <w:tcPr>
            <w:tcW w:w="1298" w:type="dxa"/>
            <w:tcBorders>
              <w:top w:val="nil"/>
              <w:left w:val="nil"/>
              <w:bottom w:val="single" w:color="auto" w:sz="4" w:space="0"/>
              <w:right w:val="single" w:color="auto" w:sz="4" w:space="0"/>
            </w:tcBorders>
            <w:shd w:val="clear" w:color="auto" w:fill="auto"/>
          </w:tcPr>
          <w:p>
            <w:pPr>
              <w:adjustRightInd w:val="0"/>
              <w:spacing w:line="360" w:lineRule="auto"/>
              <w:jc w:val="center"/>
              <w:rPr>
                <w:rFonts w:ascii="仿宋" w:hAnsi="仿宋" w:eastAsia="仿宋" w:cs="仿宋"/>
                <w:bCs/>
                <w:kern w:val="2"/>
                <w:sz w:val="21"/>
                <w:szCs w:val="21"/>
              </w:rPr>
            </w:pPr>
            <w:r>
              <w:rPr>
                <w:rFonts w:hint="eastAsia" w:ascii="仿宋" w:hAnsi="仿宋" w:eastAsia="仿宋" w:cs="仿宋"/>
                <w:kern w:val="2"/>
                <w:sz w:val="21"/>
                <w:szCs w:val="21"/>
              </w:rPr>
              <w:t>孙行用</w:t>
            </w:r>
          </w:p>
        </w:tc>
      </w:tr>
    </w:tbl>
    <w:p>
      <w:pPr>
        <w:snapToGrid w:val="0"/>
        <w:spacing w:line="360" w:lineRule="auto"/>
        <w:ind w:firstLine="560" w:firstLineChars="200"/>
        <w:outlineLvl w:val="2"/>
        <w:rPr>
          <w:rFonts w:ascii="仿宋_GB2312" w:hAnsi="华文细黑" w:eastAsia="仿宋_GB2312"/>
          <w:sz w:val="28"/>
          <w:szCs w:val="28"/>
        </w:rPr>
      </w:pPr>
      <w:bookmarkStart w:id="37" w:name="_Toc19445"/>
      <w:r>
        <w:rPr>
          <w:rFonts w:hint="eastAsia" w:ascii="仿宋_GB2312" w:hAnsi="华文细黑" w:eastAsia="仿宋_GB2312"/>
          <w:sz w:val="28"/>
          <w:szCs w:val="28"/>
        </w:rPr>
        <w:t>2.2.2生产工艺及流程</w:t>
      </w:r>
      <w:bookmarkEnd w:id="37"/>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sz w:val="24"/>
          <w:szCs w:val="24"/>
        </w:rPr>
        <w:t>环庚三烯酚酮</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sz w:val="24"/>
          <w:szCs w:val="24"/>
        </w:rPr>
        <w:t>环庚三烯酚酮</w:t>
      </w:r>
      <w:r>
        <w:rPr>
          <w:rFonts w:hint="eastAsia" w:ascii="仿宋" w:hAnsi="仿宋" w:eastAsia="仿宋" w:cs="仿宋"/>
          <w:sz w:val="24"/>
          <w:szCs w:val="24"/>
        </w:rPr>
        <w:t>工艺流程见图2-1；</w:t>
      </w:r>
    </w:p>
    <w:p>
      <w:pPr>
        <w:widowControl/>
        <w:snapToGrid w:val="0"/>
        <w:spacing w:line="360" w:lineRule="auto"/>
        <w:rPr>
          <w:rFonts w:ascii="Times New Roman" w:hAnsi="Times New Roman" w:cs="Times New Roman"/>
          <w:sz w:val="21"/>
          <w:szCs w:val="20"/>
        </w:rPr>
      </w:pPr>
      <w:r>
        <w:rPr>
          <w:rFonts w:ascii="宋体"/>
          <w:sz w:val="24"/>
        </w:rPr>
        <w:drawing>
          <wp:inline distT="0" distB="0" distL="114300" distR="114300">
            <wp:extent cx="5553710" cy="8271510"/>
            <wp:effectExtent l="0" t="0" r="8890" b="15240"/>
            <wp:docPr id="7" name="图片 3" descr="QQ截图20150303094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QQ截图20150303094658"/>
                    <pic:cNvPicPr>
                      <a:picLocks noChangeAspect="1"/>
                    </pic:cNvPicPr>
                  </pic:nvPicPr>
                  <pic:blipFill>
                    <a:blip r:embed="rId12"/>
                    <a:stretch>
                      <a:fillRect/>
                    </a:stretch>
                  </pic:blipFill>
                  <pic:spPr>
                    <a:xfrm>
                      <a:off x="0" y="0"/>
                      <a:ext cx="5553710" cy="8271510"/>
                    </a:xfrm>
                    <a:prstGeom prst="rect">
                      <a:avLst/>
                    </a:prstGeom>
                    <a:noFill/>
                    <a:ln w="9525">
                      <a:noFill/>
                    </a:ln>
                  </pic:spPr>
                </pic:pic>
              </a:graphicData>
            </a:graphic>
          </wp:inline>
        </w:drawing>
      </w:r>
    </w:p>
    <w:p>
      <w:pPr>
        <w:widowControl/>
        <w:snapToGrid w:val="0"/>
        <w:spacing w:line="360" w:lineRule="auto"/>
        <w:ind w:firstLine="482" w:firstLineChars="200"/>
        <w:jc w:val="center"/>
        <w:rPr>
          <w:rFonts w:ascii="Times New Roman" w:hAnsi="Times New Roman" w:cs="Times New Roman"/>
          <w:sz w:val="21"/>
          <w:szCs w:val="20"/>
        </w:rPr>
      </w:pPr>
      <w:r>
        <w:rPr>
          <w:rFonts w:hint="eastAsia" w:ascii="仿宋" w:hAnsi="仿宋" w:eastAsia="仿宋" w:cs="仿宋"/>
          <w:b/>
          <w:bCs/>
          <w:sz w:val="24"/>
          <w:szCs w:val="24"/>
        </w:rPr>
        <w:t xml:space="preserve">图2-1 </w:t>
      </w:r>
      <w:r>
        <w:rPr>
          <w:rFonts w:hint="eastAsia" w:ascii="仿宋" w:hAnsi="仿宋" w:eastAsia="仿宋"/>
          <w:b/>
          <w:bCs/>
          <w:sz w:val="24"/>
          <w:szCs w:val="24"/>
        </w:rPr>
        <w:t>环庚三烯酚酮</w:t>
      </w:r>
      <w:r>
        <w:rPr>
          <w:rFonts w:hint="eastAsia" w:ascii="仿宋" w:hAnsi="仿宋" w:eastAsia="仿宋" w:cs="仿宋"/>
          <w:b/>
          <w:bCs/>
          <w:sz w:val="24"/>
          <w:szCs w:val="24"/>
        </w:rPr>
        <w:t>生产工艺流程图</w:t>
      </w:r>
    </w:p>
    <w:p>
      <w:pPr>
        <w:widowControl/>
        <w:snapToGrid w:val="0"/>
        <w:spacing w:line="360" w:lineRule="auto"/>
        <w:ind w:firstLine="480"/>
        <w:rPr>
          <w:rFonts w:ascii="仿宋" w:hAnsi="仿宋" w:eastAsia="仿宋" w:cs="仿宋"/>
          <w:sz w:val="24"/>
          <w:szCs w:val="24"/>
        </w:rPr>
      </w:pPr>
      <w:r>
        <w:rPr>
          <w:rFonts w:hint="eastAsia" w:ascii="仿宋" w:hAnsi="仿宋" w:eastAsia="仿宋"/>
          <w:sz w:val="24"/>
          <w:szCs w:val="24"/>
        </w:rPr>
        <w:t>环庚三烯酚酮</w:t>
      </w:r>
      <w:r>
        <w:rPr>
          <w:rFonts w:hint="eastAsia" w:ascii="仿宋" w:hAnsi="仿宋" w:eastAsia="仿宋" w:cs="仿宋"/>
          <w:sz w:val="24"/>
          <w:szCs w:val="24"/>
        </w:rPr>
        <w:t>生产工艺流程简述：</w:t>
      </w:r>
    </w:p>
    <w:p>
      <w:pPr>
        <w:pStyle w:val="5"/>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①解聚：200L解聚釜真空吸入二聚环戊二烯50kg，升温至出馏分，开始滴加二聚环戊二烯200kg解聚，解聚为二烯单体。釜残放入铁桶内回收处理。</w:t>
      </w:r>
    </w:p>
    <w:p>
      <w:pPr>
        <w:pStyle w:val="5"/>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②缩合：缩合釜内真空吸入100kg二氯乙酰氯，加入275kg正己烷，再加入环戊二烯80kg，滴加70kg三乙胺和80kg正己烷的混合液，滴加过程中控制温度在0℃左右，滴加完后保温4小时，取样检验合格后，加入300kg水，搅拌分层，分出水层。有机层再加入500kg水水洗后，分出水层。水层再加入150kg正己烷提取，分出水层（水层加液碱调至碱性，分出三乙胺回收套用）。有机层进行蒸馏，蒸出有机溶剂，再用高真空提出中间体（66~68℃/202.65Pa馏分），产品为无色油状液体，产率88%。釜残装入桶内回收处理。</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③水解：水解反应釜加水600kg、片碱120kg，加入中间体120kg，升温、水解，保温10小时，取样合格后，降温至40℃以下，加入二氯甲烷800kg萃取、分层，有机层装入桶内，水层再加入500kg二氯甲烷萃取，萃取完后水层进入污水处理站处理。有机层蒸馏、脱溶剂后，加入正己烷800kg，结晶。正己烷回收套用。</w:t>
      </w:r>
    </w:p>
    <w:p>
      <w:pPr>
        <w:widowControl/>
        <w:numPr>
          <w:ilvl w:val="0"/>
          <w:numId w:val="1"/>
        </w:numPr>
        <w:snapToGrid w:val="0"/>
        <w:spacing w:line="360" w:lineRule="auto"/>
        <w:ind w:firstLine="480"/>
        <w:rPr>
          <w:rFonts w:ascii="仿宋" w:hAnsi="仿宋" w:eastAsia="仿宋" w:cs="仿宋"/>
          <w:sz w:val="24"/>
          <w:szCs w:val="24"/>
        </w:rPr>
      </w:pPr>
      <w:r>
        <w:rPr>
          <w:rFonts w:hint="eastAsia" w:ascii="仿宋" w:hAnsi="仿宋" w:eastAsia="仿宋"/>
          <w:sz w:val="24"/>
          <w:szCs w:val="24"/>
        </w:rPr>
        <w:t>邻氨基苯磺酰</w:t>
      </w:r>
      <w:r>
        <w:rPr>
          <w:rFonts w:ascii="仿宋" w:hAnsi="仿宋" w:eastAsia="仿宋"/>
          <w:sz w:val="24"/>
          <w:szCs w:val="24"/>
        </w:rPr>
        <w:t>N-</w:t>
      </w:r>
      <w:r>
        <w:rPr>
          <w:rFonts w:hint="eastAsia" w:ascii="仿宋" w:hAnsi="仿宋" w:eastAsia="仿宋"/>
          <w:sz w:val="24"/>
          <w:szCs w:val="24"/>
        </w:rPr>
        <w:t>乙基苯胺</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sz w:val="24"/>
          <w:szCs w:val="24"/>
        </w:rPr>
        <w:t>邻氨基苯磺酰</w:t>
      </w:r>
      <w:r>
        <w:rPr>
          <w:rFonts w:ascii="仿宋" w:hAnsi="仿宋" w:eastAsia="仿宋"/>
          <w:sz w:val="24"/>
          <w:szCs w:val="24"/>
        </w:rPr>
        <w:t>N-</w:t>
      </w:r>
      <w:r>
        <w:rPr>
          <w:rFonts w:hint="eastAsia" w:ascii="仿宋" w:hAnsi="仿宋" w:eastAsia="仿宋"/>
          <w:sz w:val="24"/>
          <w:szCs w:val="24"/>
        </w:rPr>
        <w:t>乙基苯胺</w:t>
      </w:r>
      <w:r>
        <w:rPr>
          <w:rFonts w:hint="eastAsia" w:ascii="仿宋" w:hAnsi="仿宋" w:eastAsia="仿宋" w:cs="仿宋"/>
          <w:sz w:val="24"/>
          <w:szCs w:val="24"/>
        </w:rPr>
        <w:t>生产工艺见图2-2；</w:t>
      </w:r>
    </w:p>
    <w:p>
      <w:pPr>
        <w:widowControl/>
        <w:snapToGrid w:val="0"/>
        <w:spacing w:line="360" w:lineRule="auto"/>
        <w:jc w:val="center"/>
        <w:rPr>
          <w:rFonts w:ascii="Times New Roman" w:hAnsi="Times New Roman" w:cs="Times New Roman"/>
          <w:sz w:val="21"/>
          <w:szCs w:val="20"/>
        </w:rPr>
      </w:pPr>
      <w:r>
        <w:rPr>
          <w:rFonts w:ascii="宋体"/>
          <w:sz w:val="24"/>
        </w:rPr>
        <w:drawing>
          <wp:inline distT="0" distB="0" distL="114300" distR="114300">
            <wp:extent cx="5268595" cy="6265545"/>
            <wp:effectExtent l="0" t="0" r="8255" b="1905"/>
            <wp:docPr id="8" name="图片 4" descr="QQ截图20150303094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QQ截图20150303094947"/>
                    <pic:cNvPicPr>
                      <a:picLocks noChangeAspect="1"/>
                    </pic:cNvPicPr>
                  </pic:nvPicPr>
                  <pic:blipFill>
                    <a:blip r:embed="rId13"/>
                    <a:stretch>
                      <a:fillRect/>
                    </a:stretch>
                  </pic:blipFill>
                  <pic:spPr>
                    <a:xfrm>
                      <a:off x="0" y="0"/>
                      <a:ext cx="5268595" cy="6265545"/>
                    </a:xfrm>
                    <a:prstGeom prst="rect">
                      <a:avLst/>
                    </a:prstGeom>
                    <a:noFill/>
                    <a:ln w="9525">
                      <a:noFill/>
                    </a:ln>
                  </pic:spPr>
                </pic:pic>
              </a:graphicData>
            </a:graphic>
          </wp:inline>
        </w:drawing>
      </w:r>
    </w:p>
    <w:p>
      <w:pPr>
        <w:widowControl/>
        <w:snapToGrid w:val="0"/>
        <w:spacing w:line="360" w:lineRule="auto"/>
        <w:jc w:val="center"/>
        <w:rPr>
          <w:rFonts w:ascii="Times New Roman" w:hAnsi="Times New Roman" w:cs="Times New Roman"/>
          <w:sz w:val="21"/>
          <w:szCs w:val="20"/>
        </w:rPr>
      </w:pPr>
      <w:r>
        <w:rPr>
          <w:rFonts w:hint="eastAsia" w:ascii="仿宋" w:hAnsi="仿宋" w:eastAsia="仿宋" w:cs="仿宋"/>
          <w:b/>
          <w:bCs/>
          <w:sz w:val="24"/>
          <w:szCs w:val="24"/>
        </w:rPr>
        <w:t>图2-2 邻氨基苯磺酰N-乙基苯胺工艺流程图</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邻氨基苯磺酰N-乙基苯胺生产工艺流程简述：</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①氯化：3000L反应釜内加入2000L盐酸，搅拌情况下投入硫化料400kg，加入催化剂6kg升温至25℃时，通入氯气，维持50℃以上，通氯基本不反应后，取样检验，合格后降温至30℃放料（反应生成的气体通过降膜碱吸收），放料后，抽滤母液套用，物料水洗3次。物料甩干、烘干得干品552kg。洗水去污水处理站处理。</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②缩合：2000L反应釜中加水1000kg、纯碱125kg，加入计量的N-乙基苯胺300kg，搅拌升温至25℃，加入氯化物，每15分钟加25kg，约5~6小时加完，共加545kg，氯化物加完后，缓慢升温至70℃，保温2小时，取样合格后，降温至30℃，放料、抽干、甩干。出干品720kg。洗水及废水2000kg进污水处理系统。</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③还原：在2000L高压反应釜中加环己烷800kg，缩合料邻硝基苯磺酰N-乙基苯胺600kg、催化剂20kg，开搅拌升温至25℃至物料全部溶解后，通入氮气置换3次、氢气置换2次，通入氢气保持釜内压力1.5~1.8Mpa，在70~80℃保温反应至终点，反应8小时，取样合格后，降温至40℃，压料、过滤、母液浓缩、结晶、甩干。产品经干燥得到成品590kg。催化剂及溶剂回收套用。</w:t>
      </w:r>
    </w:p>
    <w:p>
      <w:pPr>
        <w:widowControl/>
        <w:numPr>
          <w:ilvl w:val="0"/>
          <w:numId w:val="1"/>
        </w:numPr>
        <w:snapToGrid w:val="0"/>
        <w:spacing w:line="360" w:lineRule="auto"/>
        <w:ind w:firstLine="480"/>
        <w:rPr>
          <w:rFonts w:ascii="仿宋" w:hAnsi="仿宋" w:eastAsia="仿宋" w:cs="仿宋"/>
          <w:sz w:val="24"/>
          <w:szCs w:val="24"/>
        </w:rPr>
      </w:pPr>
      <w:r>
        <w:rPr>
          <w:rFonts w:ascii="仿宋" w:hAnsi="仿宋" w:eastAsia="仿宋"/>
          <w:sz w:val="24"/>
          <w:szCs w:val="24"/>
        </w:rPr>
        <w:t>2.6-</w:t>
      </w:r>
      <w:r>
        <w:rPr>
          <w:rFonts w:hint="eastAsia" w:ascii="仿宋" w:hAnsi="仿宋" w:eastAsia="仿宋"/>
          <w:sz w:val="24"/>
          <w:szCs w:val="24"/>
        </w:rPr>
        <w:t>二氯</w:t>
      </w:r>
      <w:r>
        <w:rPr>
          <w:rFonts w:ascii="仿宋" w:hAnsi="仿宋" w:eastAsia="仿宋"/>
          <w:sz w:val="24"/>
          <w:szCs w:val="24"/>
        </w:rPr>
        <w:t>-4—</w:t>
      </w:r>
      <w:r>
        <w:rPr>
          <w:rFonts w:hint="eastAsia" w:ascii="仿宋" w:hAnsi="仿宋" w:eastAsia="仿宋"/>
          <w:sz w:val="24"/>
          <w:szCs w:val="24"/>
        </w:rPr>
        <w:t>氨基苯酚</w:t>
      </w:r>
    </w:p>
    <w:p>
      <w:pPr>
        <w:widowControl/>
        <w:snapToGrid w:val="0"/>
        <w:spacing w:line="360" w:lineRule="auto"/>
        <w:ind w:firstLine="480" w:firstLineChars="200"/>
        <w:rPr>
          <w:rFonts w:ascii="仿宋" w:hAnsi="仿宋" w:eastAsia="仿宋" w:cs="仿宋"/>
          <w:sz w:val="24"/>
          <w:szCs w:val="24"/>
        </w:rPr>
      </w:pPr>
      <w:r>
        <w:rPr>
          <w:rFonts w:ascii="仿宋" w:hAnsi="仿宋" w:eastAsia="仿宋"/>
          <w:sz w:val="24"/>
          <w:szCs w:val="24"/>
        </w:rPr>
        <w:t>2.6-</w:t>
      </w:r>
      <w:r>
        <w:rPr>
          <w:rFonts w:hint="eastAsia" w:ascii="仿宋" w:hAnsi="仿宋" w:eastAsia="仿宋"/>
          <w:sz w:val="24"/>
          <w:szCs w:val="24"/>
        </w:rPr>
        <w:t>二氯</w:t>
      </w:r>
      <w:r>
        <w:rPr>
          <w:rFonts w:ascii="仿宋" w:hAnsi="仿宋" w:eastAsia="仿宋"/>
          <w:sz w:val="24"/>
          <w:szCs w:val="24"/>
        </w:rPr>
        <w:t>-4—</w:t>
      </w:r>
      <w:r>
        <w:rPr>
          <w:rFonts w:hint="eastAsia" w:ascii="仿宋" w:hAnsi="仿宋" w:eastAsia="仿宋"/>
          <w:sz w:val="24"/>
          <w:szCs w:val="24"/>
        </w:rPr>
        <w:t>氨基苯酚</w:t>
      </w:r>
      <w:r>
        <w:rPr>
          <w:rFonts w:hint="eastAsia" w:ascii="仿宋" w:hAnsi="仿宋" w:eastAsia="仿宋" w:cs="仿宋"/>
          <w:sz w:val="24"/>
          <w:szCs w:val="24"/>
        </w:rPr>
        <w:t>生产工艺见图2-3；</w:t>
      </w:r>
    </w:p>
    <w:p>
      <w:pPr>
        <w:widowControl/>
        <w:snapToGrid w:val="0"/>
        <w:spacing w:line="360" w:lineRule="auto"/>
        <w:jc w:val="center"/>
        <w:rPr>
          <w:rFonts w:ascii="Times New Roman" w:hAnsi="Times New Roman" w:cs="Times New Roman"/>
          <w:sz w:val="21"/>
          <w:szCs w:val="20"/>
        </w:rPr>
      </w:pPr>
      <w:r>
        <w:rPr>
          <w:rFonts w:ascii="宋体"/>
        </w:rPr>
        <w:drawing>
          <wp:inline distT="0" distB="0" distL="114300" distR="114300">
            <wp:extent cx="5121275" cy="7449185"/>
            <wp:effectExtent l="0" t="0" r="3175" b="18415"/>
            <wp:docPr id="10" name="图片 3" descr="QQ截图20150303095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QQ截图20150303095609"/>
                    <pic:cNvPicPr>
                      <a:picLocks noChangeAspect="1"/>
                    </pic:cNvPicPr>
                  </pic:nvPicPr>
                  <pic:blipFill>
                    <a:blip r:embed="rId14"/>
                    <a:stretch>
                      <a:fillRect/>
                    </a:stretch>
                  </pic:blipFill>
                  <pic:spPr>
                    <a:xfrm>
                      <a:off x="0" y="0"/>
                      <a:ext cx="5121275" cy="7449185"/>
                    </a:xfrm>
                    <a:prstGeom prst="rect">
                      <a:avLst/>
                    </a:prstGeom>
                    <a:noFill/>
                    <a:ln w="9525">
                      <a:noFill/>
                    </a:ln>
                  </pic:spPr>
                </pic:pic>
              </a:graphicData>
            </a:graphic>
          </wp:inline>
        </w:drawing>
      </w:r>
    </w:p>
    <w:p>
      <w:pPr>
        <w:widowControl/>
        <w:snapToGrid w:val="0"/>
        <w:spacing w:line="360" w:lineRule="auto"/>
        <w:jc w:val="center"/>
        <w:rPr>
          <w:rFonts w:ascii="Times New Roman" w:hAnsi="Times New Roman" w:cs="Times New Roman"/>
          <w:sz w:val="21"/>
          <w:szCs w:val="20"/>
        </w:rPr>
      </w:pPr>
      <w:r>
        <w:rPr>
          <w:rFonts w:hint="eastAsia" w:ascii="仿宋" w:hAnsi="仿宋" w:eastAsia="仿宋" w:cs="仿宋"/>
          <w:b/>
          <w:bCs/>
          <w:sz w:val="24"/>
          <w:szCs w:val="24"/>
        </w:rPr>
        <w:t xml:space="preserve">图2-3 </w:t>
      </w:r>
      <w:r>
        <w:rPr>
          <w:rFonts w:ascii="仿宋" w:hAnsi="仿宋" w:eastAsia="仿宋"/>
          <w:b/>
          <w:bCs/>
          <w:sz w:val="24"/>
          <w:szCs w:val="24"/>
        </w:rPr>
        <w:t>2.6-</w:t>
      </w:r>
      <w:r>
        <w:rPr>
          <w:rFonts w:hint="eastAsia" w:ascii="仿宋" w:hAnsi="仿宋" w:eastAsia="仿宋"/>
          <w:b/>
          <w:bCs/>
          <w:sz w:val="24"/>
          <w:szCs w:val="24"/>
        </w:rPr>
        <w:t>二氯</w:t>
      </w:r>
      <w:r>
        <w:rPr>
          <w:rFonts w:ascii="仿宋" w:hAnsi="仿宋" w:eastAsia="仿宋"/>
          <w:b/>
          <w:bCs/>
          <w:sz w:val="24"/>
          <w:szCs w:val="24"/>
        </w:rPr>
        <w:t>-4—</w:t>
      </w:r>
      <w:r>
        <w:rPr>
          <w:rFonts w:hint="eastAsia" w:ascii="仿宋" w:hAnsi="仿宋" w:eastAsia="仿宋"/>
          <w:b/>
          <w:bCs/>
          <w:sz w:val="24"/>
          <w:szCs w:val="24"/>
        </w:rPr>
        <w:t>氨基苯酚</w:t>
      </w:r>
      <w:r>
        <w:rPr>
          <w:rFonts w:hint="eastAsia" w:ascii="仿宋" w:hAnsi="仿宋" w:eastAsia="仿宋" w:cs="仿宋"/>
          <w:b/>
          <w:bCs/>
          <w:sz w:val="24"/>
          <w:szCs w:val="24"/>
        </w:rPr>
        <w:t>生产工艺路程图</w:t>
      </w:r>
    </w:p>
    <w:p>
      <w:pPr>
        <w:widowControl/>
        <w:snapToGrid w:val="0"/>
        <w:spacing w:line="360" w:lineRule="auto"/>
        <w:rPr>
          <w:rFonts w:ascii="仿宋" w:hAnsi="仿宋" w:eastAsia="仿宋" w:cs="仿宋"/>
          <w:sz w:val="24"/>
          <w:szCs w:val="24"/>
        </w:rPr>
      </w:pPr>
    </w:p>
    <w:p>
      <w:pPr>
        <w:widowControl/>
        <w:snapToGrid w:val="0"/>
        <w:spacing w:line="360" w:lineRule="auto"/>
        <w:ind w:firstLine="480"/>
        <w:rPr>
          <w:rFonts w:ascii="仿宋" w:hAnsi="仿宋" w:eastAsia="仿宋" w:cs="仿宋"/>
          <w:sz w:val="24"/>
          <w:szCs w:val="24"/>
        </w:rPr>
      </w:pPr>
      <w:r>
        <w:rPr>
          <w:rFonts w:ascii="仿宋" w:hAnsi="仿宋" w:eastAsia="仿宋"/>
          <w:sz w:val="24"/>
          <w:szCs w:val="24"/>
        </w:rPr>
        <w:t>2.6-</w:t>
      </w:r>
      <w:r>
        <w:rPr>
          <w:rFonts w:hint="eastAsia" w:ascii="仿宋" w:hAnsi="仿宋" w:eastAsia="仿宋"/>
          <w:sz w:val="24"/>
          <w:szCs w:val="24"/>
        </w:rPr>
        <w:t>二氯</w:t>
      </w:r>
      <w:r>
        <w:rPr>
          <w:rFonts w:ascii="仿宋" w:hAnsi="仿宋" w:eastAsia="仿宋"/>
          <w:sz w:val="24"/>
          <w:szCs w:val="24"/>
        </w:rPr>
        <w:t>-4—</w:t>
      </w:r>
      <w:r>
        <w:rPr>
          <w:rFonts w:hint="eastAsia" w:ascii="仿宋" w:hAnsi="仿宋" w:eastAsia="仿宋"/>
          <w:sz w:val="24"/>
          <w:szCs w:val="24"/>
        </w:rPr>
        <w:t>氨基苯酚</w:t>
      </w:r>
      <w:r>
        <w:rPr>
          <w:rFonts w:hint="eastAsia" w:ascii="仿宋" w:hAnsi="仿宋" w:eastAsia="仿宋" w:cs="仿宋"/>
          <w:sz w:val="24"/>
          <w:szCs w:val="24"/>
        </w:rPr>
        <w:t>工艺流程描述：</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①硝化：3000L反应釜中加入375kg2.6-二氯苯酚、2600kg二氯甲烷，搅拌滴加40%硝酸540kg，滴加5~6小时，温度30~40℃，保温4小时，加水500kg，降至室温，放料、水洗、甩干。二氯甲烷从水层分出，回收套用。</w:t>
      </w:r>
    </w:p>
    <w:p>
      <w:pPr>
        <w:widowControl/>
        <w:snapToGrid w:val="0"/>
        <w:spacing w:line="360" w:lineRule="auto"/>
        <w:ind w:firstLine="480"/>
        <w:rPr>
          <w:rFonts w:ascii="仿宋" w:hAnsi="仿宋" w:eastAsia="仿宋" w:cs="仿宋"/>
          <w:sz w:val="24"/>
          <w:szCs w:val="24"/>
        </w:rPr>
      </w:pPr>
      <w:r>
        <w:rPr>
          <w:rFonts w:hint="eastAsia" w:ascii="仿宋" w:hAnsi="仿宋" w:eastAsia="仿宋" w:cs="仿宋"/>
          <w:sz w:val="24"/>
          <w:szCs w:val="24"/>
        </w:rPr>
        <w:t>②还原：将208kg的2.6-二氯-4-硝基苯酚加入1500L的不锈钢高压釜中，加入800L乙醇、10kg的5%的Pd/C催化剂，在密闭条件下一次用氮气、氢气各置换3次，搅拌，升温至60~70℃，控制釜内氢气压力1.0~1.2Mpa，待压力不再下降即达到反应终点。开釜、过滤、回收催化剂（待下次套用），滤液蒸馏回收乙醇，约600L后，过滤，母液套用（下批），滤饼水洗抽干得湿品、真空干燥得2.6-二氯-4-氨基苯酚160kg，收率90%。</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w:t>
      </w:r>
      <w:r>
        <w:rPr>
          <w:rFonts w:hint="eastAsia" w:ascii="仿宋" w:hAnsi="仿宋" w:eastAsia="仿宋"/>
          <w:sz w:val="24"/>
          <w:szCs w:val="24"/>
        </w:rPr>
        <w:t>间硝基苯甲酸</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sz w:val="24"/>
          <w:szCs w:val="24"/>
        </w:rPr>
        <w:t>间硝基苯甲酸</w:t>
      </w:r>
      <w:r>
        <w:rPr>
          <w:rFonts w:hint="eastAsia" w:ascii="仿宋" w:hAnsi="仿宋" w:eastAsia="仿宋" w:cs="仿宋"/>
          <w:sz w:val="24"/>
          <w:szCs w:val="24"/>
        </w:rPr>
        <w:t>生产工艺见图2-4；</w:t>
      </w:r>
    </w:p>
    <w:p>
      <w:pPr>
        <w:widowControl/>
        <w:snapToGrid w:val="0"/>
        <w:spacing w:line="360" w:lineRule="auto"/>
        <w:jc w:val="center"/>
        <w:rPr>
          <w:rFonts w:ascii="Times New Roman" w:hAnsi="Times New Roman" w:cs="Times New Roman"/>
          <w:sz w:val="21"/>
          <w:szCs w:val="20"/>
        </w:rPr>
      </w:pPr>
      <w:r>
        <w:rPr>
          <w:rFonts w:ascii="宋体"/>
          <w:sz w:val="24"/>
        </w:rPr>
        <w:drawing>
          <wp:inline distT="0" distB="0" distL="114300" distR="114300">
            <wp:extent cx="5200015" cy="6406515"/>
            <wp:effectExtent l="0" t="0" r="635" b="13335"/>
            <wp:docPr id="11" name="图片 4" descr="QQ截图20150303095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QQ截图20150303095736"/>
                    <pic:cNvPicPr>
                      <a:picLocks noChangeAspect="1"/>
                    </pic:cNvPicPr>
                  </pic:nvPicPr>
                  <pic:blipFill>
                    <a:blip r:embed="rId15"/>
                    <a:stretch>
                      <a:fillRect/>
                    </a:stretch>
                  </pic:blipFill>
                  <pic:spPr>
                    <a:xfrm>
                      <a:off x="0" y="0"/>
                      <a:ext cx="5200015" cy="6406515"/>
                    </a:xfrm>
                    <a:prstGeom prst="rect">
                      <a:avLst/>
                    </a:prstGeom>
                    <a:noFill/>
                    <a:ln w="9525">
                      <a:noFill/>
                    </a:ln>
                  </pic:spPr>
                </pic:pic>
              </a:graphicData>
            </a:graphic>
          </wp:inline>
        </w:drawing>
      </w:r>
    </w:p>
    <w:p>
      <w:pPr>
        <w:widowControl/>
        <w:snapToGrid w:val="0"/>
        <w:spacing w:line="360" w:lineRule="auto"/>
        <w:ind w:firstLine="482" w:firstLineChars="200"/>
        <w:jc w:val="center"/>
        <w:rPr>
          <w:rFonts w:ascii="仿宋" w:hAnsi="仿宋" w:eastAsia="仿宋" w:cs="仿宋"/>
          <w:b/>
          <w:bCs/>
          <w:sz w:val="24"/>
          <w:szCs w:val="24"/>
        </w:rPr>
      </w:pPr>
      <w:r>
        <w:rPr>
          <w:rFonts w:hint="eastAsia" w:ascii="仿宋" w:hAnsi="仿宋" w:eastAsia="仿宋" w:cs="仿宋"/>
          <w:b/>
          <w:bCs/>
          <w:sz w:val="24"/>
          <w:szCs w:val="24"/>
        </w:rPr>
        <w:t>图2-4</w:t>
      </w:r>
      <w:r>
        <w:rPr>
          <w:rFonts w:hint="eastAsia" w:ascii="仿宋" w:hAnsi="仿宋" w:eastAsia="仿宋"/>
          <w:b/>
          <w:bCs/>
          <w:sz w:val="24"/>
          <w:szCs w:val="24"/>
        </w:rPr>
        <w:t>间硝基苯甲酸</w:t>
      </w:r>
      <w:r>
        <w:rPr>
          <w:rFonts w:hint="eastAsia" w:ascii="仿宋" w:hAnsi="仿宋" w:eastAsia="仿宋" w:cs="仿宋"/>
          <w:b/>
          <w:bCs/>
          <w:sz w:val="24"/>
          <w:szCs w:val="24"/>
        </w:rPr>
        <w:t>生产工艺路程图</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间硝基苯甲酸工艺流程描述：</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①硝化：3000L反应釜中加入硫酸1500kg，搅拌，加入苯甲酸725kg，搅拌30分钟，30~40℃时滴加850kg硝酸总量的1/2，温度升至45℃滴加完后，再加775kg苯甲酸，搅拌30分钟，2小时升温至55℃，55~60℃滴加剩余硝酸，7~8小时加完，1小时升温至95℃，保温3小时，取样检验合格后，转料。</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②水解：2个3000L反应釜中各加水1500kg，开真空、搅拌，将硝化料均匀转入2个反应釜中，升温至100℃，搅拌保温15分钟，降温至40℃，放料、抽滤、水洗、抽干。出料2250kg。</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③碱析：碱析釜加入水300kg、液碱750kg，搅拌，将水解料1125kg投入釜中，调pH=8，补碱480kg，降温至30℃，放料、抽滤、甩干。出料1150kg，碱水3000kg。</w:t>
      </w:r>
    </w:p>
    <w:p>
      <w:pPr>
        <w:pStyle w:val="5"/>
        <w:snapToGrid w:val="0"/>
        <w:spacing w:after="0" w:line="360" w:lineRule="auto"/>
        <w:ind w:firstLine="470" w:firstLineChars="196"/>
        <w:rPr>
          <w:rFonts w:ascii="仿宋" w:hAnsi="仿宋" w:eastAsia="仿宋" w:cs="仿宋"/>
          <w:sz w:val="24"/>
          <w:szCs w:val="24"/>
        </w:rPr>
      </w:pPr>
      <w:r>
        <w:rPr>
          <w:rFonts w:hint="eastAsia" w:ascii="仿宋" w:hAnsi="仿宋" w:eastAsia="仿宋" w:cs="仿宋"/>
          <w:sz w:val="24"/>
          <w:szCs w:val="24"/>
        </w:rPr>
        <w:t>④精制：反应釜中加水1500kg，加入碱析料950kg，搅拌升温至60℃，调至pH=7.5，调完后加入10kg活性炭，搅拌30分钟，静置、过滤。</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⑤酸析：将滤液过滤至酸析釜中，保证滤液澄清无碳后，升温至80℃，加入硫酸调pH=1后，降温至40℃，放料、甩干、淋洗。出料650kg，废水2000kg。</w:t>
      </w:r>
    </w:p>
    <w:p>
      <w:pPr>
        <w:widowControl/>
        <w:snapToGrid w:val="0"/>
        <w:spacing w:line="360" w:lineRule="auto"/>
        <w:ind w:firstLine="480" w:firstLineChars="200"/>
        <w:rPr>
          <w:rFonts w:ascii="仿宋" w:hAnsi="仿宋" w:eastAsia="仿宋"/>
          <w:sz w:val="24"/>
          <w:szCs w:val="24"/>
        </w:rPr>
      </w:pPr>
      <w:r>
        <w:rPr>
          <w:rFonts w:hint="eastAsia" w:ascii="仿宋" w:hAnsi="仿宋" w:eastAsia="仿宋" w:cs="仿宋"/>
          <w:sz w:val="24"/>
          <w:szCs w:val="24"/>
        </w:rPr>
        <w:t>（五）</w:t>
      </w:r>
      <w:r>
        <w:rPr>
          <w:rFonts w:hint="eastAsia" w:ascii="仿宋" w:hAnsi="仿宋" w:eastAsia="仿宋"/>
          <w:sz w:val="24"/>
          <w:szCs w:val="24"/>
        </w:rPr>
        <w:t>2-甲基苯氧乙酸</w:t>
      </w:r>
    </w:p>
    <w:p>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sz w:val="24"/>
          <w:szCs w:val="24"/>
        </w:rPr>
        <w:t>2-甲基苯氧乙酸</w:t>
      </w:r>
      <w:r>
        <w:rPr>
          <w:rFonts w:hint="eastAsia" w:ascii="仿宋" w:hAnsi="仿宋" w:eastAsia="仿宋" w:cs="仿宋"/>
          <w:sz w:val="24"/>
          <w:szCs w:val="24"/>
        </w:rPr>
        <w:t>生产工艺见图2-5；</w:t>
      </w:r>
    </w:p>
    <w:p>
      <w:pPr>
        <w:spacing w:line="360" w:lineRule="auto"/>
      </w:pPr>
      <w:r>
        <w:rPr>
          <w:rFonts w:hint="eastAsia"/>
        </w:rPr>
        <w:object>
          <v:shape id="_x0000_i1025" o:spt="75" type="#_x0000_t75" style="height:621pt;width:435.75pt;" o:ole="t" filled="f" o:preferrelative="t" stroked="f" coordsize="21600,21600">
            <v:path/>
            <v:fill on="f" focussize="0,0"/>
            <v:stroke on="f" joinstyle="miter"/>
            <v:imagedata r:id="rId17" o:title=""/>
            <o:lock v:ext="edit" aspectratio="f"/>
            <w10:wrap type="none"/>
            <w10:anchorlock/>
          </v:shape>
          <o:OLEObject Type="Embed" ProgID="Visio.Drawing.11" ShapeID="_x0000_i1025" DrawAspect="Content" ObjectID="_1468075725" r:id="rId16">
            <o:LockedField>false</o:LockedField>
          </o:OLEObject>
        </w:object>
      </w:r>
    </w:p>
    <w:p>
      <w:pPr>
        <w:spacing w:line="360" w:lineRule="auto"/>
      </w:pPr>
    </w:p>
    <w:p>
      <w:pPr>
        <w:spacing w:line="360" w:lineRule="auto"/>
        <w:jc w:val="center"/>
      </w:pPr>
      <w:r>
        <w:rPr>
          <w:rFonts w:hint="eastAsia" w:ascii="仿宋" w:hAnsi="仿宋" w:eastAsia="仿宋" w:cs="仿宋"/>
          <w:b/>
          <w:bCs/>
          <w:sz w:val="24"/>
          <w:szCs w:val="24"/>
        </w:rPr>
        <w:t xml:space="preserve">图2-5 </w:t>
      </w:r>
      <w:r>
        <w:rPr>
          <w:rFonts w:hint="eastAsia" w:ascii="仿宋" w:hAnsi="仿宋" w:eastAsia="仿宋"/>
          <w:b/>
          <w:bCs/>
          <w:sz w:val="24"/>
          <w:szCs w:val="24"/>
        </w:rPr>
        <w:t>2-甲基苯氧乙酸</w:t>
      </w:r>
      <w:r>
        <w:rPr>
          <w:rFonts w:hint="eastAsia" w:ascii="仿宋" w:hAnsi="仿宋" w:eastAsia="仿宋" w:cs="仿宋"/>
          <w:b/>
          <w:bCs/>
          <w:sz w:val="24"/>
          <w:szCs w:val="24"/>
        </w:rPr>
        <w:t>生产工艺路程图</w:t>
      </w:r>
    </w:p>
    <w:p>
      <w:pPr>
        <w:spacing w:line="360" w:lineRule="auto"/>
      </w:pPr>
    </w:p>
    <w:p>
      <w:pPr>
        <w:widowControl/>
        <w:snapToGrid w:val="0"/>
        <w:spacing w:line="360" w:lineRule="auto"/>
        <w:ind w:firstLine="480" w:firstLineChars="200"/>
        <w:rPr>
          <w:rFonts w:ascii="仿宋" w:hAnsi="仿宋" w:eastAsia="仿宋" w:cs="仿宋"/>
          <w:b/>
          <w:bCs/>
          <w:sz w:val="24"/>
          <w:szCs w:val="24"/>
        </w:rPr>
      </w:pPr>
      <w:r>
        <w:rPr>
          <w:rFonts w:hint="eastAsia" w:ascii="仿宋" w:hAnsi="仿宋" w:eastAsia="仿宋"/>
          <w:sz w:val="24"/>
          <w:szCs w:val="24"/>
        </w:rPr>
        <w:t>2-甲基苯氧乙酸</w:t>
      </w:r>
      <w:r>
        <w:rPr>
          <w:rFonts w:hint="eastAsia" w:ascii="仿宋" w:hAnsi="仿宋" w:eastAsia="仿宋" w:cs="仿宋"/>
          <w:sz w:val="24"/>
          <w:szCs w:val="24"/>
        </w:rPr>
        <w:t>工艺流程描述：</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（1）配料</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①氯乙酸中和</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往搪瓷反应釜中加入97%氯乙酸，用碱液反萃取邻甲酚的含碱约3%的酚水。计量槽中放入32%液碱，温度控制在30℃以下，开始滴加32%液碱，滴加速度维持此温度为宜，约3-4小时。滴完碱液后，氯乙酸钠溶液的pH值应在10以上。</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②邻苯甲酚中和</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往不锈钢反应釜中加邻苯甲酚，用碱液反萃取邻甲酚的含碱约3%的酚水，溶液温</w:t>
      </w:r>
    </w:p>
    <w:p>
      <w:pPr>
        <w:pStyle w:val="13"/>
        <w:snapToGrid w:val="0"/>
        <w:spacing w:after="0" w:line="360" w:lineRule="auto"/>
        <w:ind w:left="0" w:leftChars="0"/>
        <w:rPr>
          <w:rFonts w:ascii="仿宋" w:hAnsi="仿宋" w:eastAsia="仿宋" w:cs="仿宋"/>
          <w:sz w:val="24"/>
          <w:szCs w:val="24"/>
        </w:rPr>
      </w:pPr>
      <w:r>
        <w:rPr>
          <w:rFonts w:hint="eastAsia" w:ascii="仿宋" w:hAnsi="仿宋" w:eastAsia="仿宋" w:cs="仿宋"/>
          <w:sz w:val="24"/>
          <w:szCs w:val="24"/>
        </w:rPr>
        <w:t>度控制不高于40℃，滴加32%液碱，滴加速度维持温度不变为宜，滴加时间0.5-1小时。</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（2）缩合</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往装有邻甲酚钠溶液的不锈钢反应釜通蒸汽加热至釜内溶液沸腾时，将氯乙酸钠溶液滴加于装有邻甲酚钠溶液的反应釜中，滴加速度以保持反应液在回流状态为准，时间约为3小时，滴加结束后，保温回流2小时。</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（3）蒸酚</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将上述反应液转入6300升的搪瓷反应釜中，用盐酸调节反应溶液PH等于6左右，加热，真空蒸酚，蒸出的500至800升蒸酚水放在下工段萃取。加入2000升萃取过邻甲酚和缩合物之后的母液，将该工序的反应溶液进行过滤处理，过滤的杂质S1委托处理。过滤后的溶液直接排到12立带有钛盘管冷却的塑料槽中，用盐酸调PH值为1.5，加酸时控制温度在50℃以下，往反应釜盘管通冷却水，用盐酸调溶液的PH值为1.5左右，溶液温度不超过50℃时，开通盘管冷却水，将物料搅拌，冷却至25-30℃时，用泵将物料打入板框压滤机中过滤，用适量水洗涤沉淀，收集滤液和洗水，留下一步用二氯乙烷萃取缩合物和邻甲酚。</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( 4)  2-甲基苯氧乙酸的烘干</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将过滤出来的湿2-甲基苯氧乙酸用塑料袋装好，送到干燥车间，用两台2000升双锥真空旋转干燥器蒸汽加热烘干达到要求后，包装外卖，烘干废气排入厂区尾气吸收系统处理达标后排放。</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（5）邻甲酚和缩合物的萃取</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用泵往5000升搪瓷反应釜中打入4500升缩合反应产生的蒸酚水和酸性滤液，开动搅拌，加入617.5公斤二氯乙烷萃取剂，加完二氯乙烷后搅动30分钟，静止30分钟。通过视盅分离反应釜下层的油相（二氯乙烷）到特定的储槽中，萃取后的酸性母液加入15公斤活性炭，搅拌30分钟，过滤活性炭，过滤后的活性炭委托处理，母液留用。</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（6）邻甲酚的反萃取</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将多次萃取收集的油相（二氯乙烷）4500升用泵打到另一个5000升，加入32%液碱50升，蒸出液350升，搅拌30分钟，静止30分钟后，油水分离之，含邻甲酚的萃取碱液放入特定的储槽备用，将萃取邻甲酚含碱3%的酚水用于投料时中和邻甲酚、氯乙酸。</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（7）废水浓缩除盐</w:t>
      </w:r>
    </w:p>
    <w:p>
      <w:pPr>
        <w:pStyle w:val="13"/>
        <w:snapToGrid w:val="0"/>
        <w:spacing w:after="0"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将以上6步反应生成的母液或废水收集于30立方米的塑料槽中，然后用泵将其打进6300升的搪瓷釜中，加热真空浓缩至合适浓度后，放入3000升塑料抽滤槽真空抽滤氯化钠盐（约1250kg），抽滤出来的母液再循环浓缩除盐，蒸出水回收，用于本工艺生产，多次套用后的母液W1排入厂区污水处理站处理达标后排放。</w:t>
      </w:r>
    </w:p>
    <w:p>
      <w:pPr>
        <w:pStyle w:val="13"/>
        <w:snapToGrid w:val="0"/>
        <w:spacing w:after="0" w:line="360" w:lineRule="auto"/>
        <w:ind w:left="360"/>
        <w:rPr>
          <w:rFonts w:ascii="仿宋" w:hAnsi="仿宋" w:eastAsia="仿宋" w:cs="仿宋"/>
          <w:sz w:val="24"/>
          <w:szCs w:val="24"/>
        </w:rPr>
      </w:pPr>
      <w:r>
        <w:rPr>
          <w:rFonts w:hint="eastAsia" w:ascii="仿宋" w:hAnsi="仿宋" w:eastAsia="仿宋" w:cs="仿宋"/>
          <w:sz w:val="24"/>
          <w:szCs w:val="24"/>
        </w:rPr>
        <w:t>(8) 回收盐的提纯</w:t>
      </w:r>
    </w:p>
    <w:p>
      <w:pPr>
        <w:widowControl/>
        <w:snapToGrid w:val="0"/>
        <w:spacing w:line="360" w:lineRule="auto"/>
        <w:ind w:firstLine="480" w:firstLineChars="200"/>
        <w:jc w:val="left"/>
      </w:pPr>
      <w:r>
        <w:rPr>
          <w:rFonts w:hint="eastAsia" w:ascii="仿宋" w:hAnsi="仿宋" w:eastAsia="仿宋" w:cs="仿宋"/>
          <w:sz w:val="24"/>
          <w:szCs w:val="24"/>
        </w:rPr>
        <w:t>将上述真空浓缩抽滤得到的氯化钠盐通过加热重结晶除杂提纯，冷却过滤，得到符合工业生产使用要求的氯化钠盐，包装外卖，重结晶母液送上面工艺循环浓缩处理。</w:t>
      </w:r>
    </w:p>
    <w:p>
      <w:pPr>
        <w:snapToGrid w:val="0"/>
        <w:spacing w:line="360" w:lineRule="auto"/>
        <w:ind w:firstLine="560" w:firstLineChars="200"/>
        <w:outlineLvl w:val="2"/>
        <w:rPr>
          <w:rFonts w:ascii="仿宋_GB2312" w:hAnsi="华文细黑" w:eastAsia="仿宋_GB2312"/>
          <w:sz w:val="28"/>
          <w:szCs w:val="28"/>
        </w:rPr>
      </w:pPr>
      <w:bookmarkStart w:id="38" w:name="_Toc23174"/>
      <w:r>
        <w:rPr>
          <w:rFonts w:hint="eastAsia" w:ascii="仿宋_GB2312" w:hAnsi="华文细黑" w:eastAsia="仿宋_GB2312"/>
          <w:sz w:val="28"/>
          <w:szCs w:val="28"/>
        </w:rPr>
        <w:t>2.2.3生产装置、设备</w:t>
      </w:r>
      <w:bookmarkEnd w:id="38"/>
    </w:p>
    <w:p>
      <w:pPr>
        <w:pStyle w:val="5"/>
        <w:adjustRightInd w:val="0"/>
        <w:snapToGrid w:val="0"/>
        <w:spacing w:after="0" w:line="360" w:lineRule="auto"/>
        <w:ind w:firstLine="480" w:firstLineChars="200"/>
        <w:rPr>
          <w:rFonts w:ascii="仿宋_GB2312" w:hAnsi="华文细黑" w:eastAsia="仿宋_GB2312"/>
          <w:sz w:val="28"/>
          <w:szCs w:val="28"/>
        </w:rPr>
      </w:pPr>
      <w:r>
        <w:rPr>
          <w:rFonts w:hint="eastAsia" w:ascii="仿宋_GB2312" w:hAnsi="宋体" w:eastAsia="仿宋_GB2312"/>
          <w:sz w:val="24"/>
          <w:szCs w:val="24"/>
        </w:rPr>
        <w:t>主要生产设备见表2-4。</w:t>
      </w:r>
    </w:p>
    <w:p>
      <w:pPr>
        <w:widowControl/>
        <w:snapToGrid w:val="0"/>
        <w:spacing w:line="360" w:lineRule="auto"/>
        <w:ind w:firstLine="560"/>
        <w:jc w:val="center"/>
        <w:rPr>
          <w:rFonts w:ascii="Times New Roman" w:hAnsi="Times New Roman" w:eastAsia="仿宋_GB2312" w:cs="仿宋_GB2312"/>
          <w:b/>
          <w:sz w:val="24"/>
          <w:szCs w:val="24"/>
        </w:rPr>
      </w:pPr>
      <w:r>
        <w:rPr>
          <w:rFonts w:hint="eastAsia" w:ascii="Times New Roman" w:hAnsi="Times New Roman" w:eastAsia="仿宋_GB2312" w:cs="仿宋_GB2312"/>
          <w:b/>
          <w:sz w:val="24"/>
          <w:szCs w:val="24"/>
        </w:rPr>
        <w:br w:type="page"/>
      </w:r>
    </w:p>
    <w:p>
      <w:pPr>
        <w:widowControl/>
        <w:snapToGrid w:val="0"/>
        <w:spacing w:line="360" w:lineRule="auto"/>
        <w:ind w:firstLine="560"/>
        <w:jc w:val="center"/>
        <w:rPr>
          <w:rFonts w:ascii="仿宋_GB2312" w:eastAsia="仿宋_GB2312" w:cs="仿宋_GB2312"/>
          <w:b/>
          <w:sz w:val="24"/>
          <w:szCs w:val="24"/>
        </w:rPr>
      </w:pPr>
      <w:r>
        <w:rPr>
          <w:rFonts w:hint="eastAsia" w:ascii="Times New Roman" w:hAnsi="Times New Roman" w:eastAsia="仿宋_GB2312" w:cs="仿宋_GB2312"/>
          <w:b/>
          <w:sz w:val="24"/>
          <w:szCs w:val="24"/>
        </w:rPr>
        <w:t>表</w:t>
      </w:r>
      <w:r>
        <w:rPr>
          <w:rFonts w:hint="eastAsia" w:ascii="Times New Roman" w:hAnsi="Times New Roman" w:eastAsia="仿宋_GB2312" w:cs="Times New Roman"/>
          <w:b/>
          <w:sz w:val="24"/>
          <w:szCs w:val="24"/>
        </w:rPr>
        <w:t>2-4</w:t>
      </w:r>
      <w:r>
        <w:rPr>
          <w:rFonts w:hint="eastAsia" w:ascii="仿宋_GB2312" w:hAnsi="Times New Roman" w:eastAsia="仿宋_GB2312" w:cs="仿宋_GB2312"/>
          <w:b/>
          <w:kern w:val="2"/>
          <w:sz w:val="24"/>
          <w:szCs w:val="24"/>
        </w:rPr>
        <w:t>主要生产设备一览表</w:t>
      </w:r>
    </w:p>
    <w:tbl>
      <w:tblPr>
        <w:tblStyle w:val="26"/>
        <w:tblW w:w="86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298"/>
        <w:gridCol w:w="752"/>
        <w:gridCol w:w="643"/>
        <w:gridCol w:w="1507"/>
        <w:gridCol w:w="1352"/>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序号</w:t>
            </w:r>
          </w:p>
        </w:tc>
        <w:tc>
          <w:tcPr>
            <w:tcW w:w="2298"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名    称</w:t>
            </w:r>
          </w:p>
        </w:tc>
        <w:tc>
          <w:tcPr>
            <w:tcW w:w="752"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单 位</w:t>
            </w:r>
          </w:p>
        </w:tc>
        <w:tc>
          <w:tcPr>
            <w:tcW w:w="643"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数量</w:t>
            </w:r>
          </w:p>
        </w:tc>
        <w:tc>
          <w:tcPr>
            <w:tcW w:w="1507"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规格</w:t>
            </w:r>
          </w:p>
        </w:tc>
        <w:tc>
          <w:tcPr>
            <w:tcW w:w="1352"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工艺参数</w:t>
            </w:r>
          </w:p>
        </w:tc>
        <w:tc>
          <w:tcPr>
            <w:tcW w:w="1256" w:type="dxa"/>
            <w:vAlign w:val="center"/>
          </w:tcPr>
          <w:p>
            <w:pPr>
              <w:adjustRightInd w:val="0"/>
              <w:snapToGrid w:val="0"/>
              <w:jc w:val="center"/>
              <w:rPr>
                <w:rFonts w:ascii="仿宋" w:hAnsi="仿宋" w:eastAsia="仿宋" w:cs="仿宋"/>
                <w:b/>
                <w:kern w:val="2"/>
                <w:sz w:val="21"/>
                <w:szCs w:val="21"/>
              </w:rPr>
            </w:pPr>
            <w:r>
              <w:rPr>
                <w:rFonts w:hint="eastAsia" w:ascii="仿宋" w:hAnsi="仿宋" w:eastAsia="仿宋" w:cs="仿宋"/>
                <w:b/>
                <w:kern w:val="2"/>
                <w:sz w:val="21"/>
                <w:szCs w:val="21"/>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680" w:type="dxa"/>
            <w:gridSpan w:val="7"/>
            <w:vAlign w:val="center"/>
          </w:tcPr>
          <w:p>
            <w:pPr>
              <w:autoSpaceDE w:val="0"/>
              <w:autoSpaceDN w:val="0"/>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环庚三烯酚酮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解聚釜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接收釜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缩合釜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萃取釜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水解釜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蒸馏釜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7</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结晶釜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8</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母液蒸馏釜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680" w:type="dxa"/>
            <w:gridSpan w:val="7"/>
            <w:vAlign w:val="center"/>
          </w:tcPr>
          <w:p>
            <w:pPr>
              <w:autoSpaceDE w:val="0"/>
              <w:autoSpaceDN w:val="0"/>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氯化反应釜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缩合反应釜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还原加氢釜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1.5-1.8MPa</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蒸馏釜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降膜吸收装置</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20m</w:t>
            </w:r>
            <w:r>
              <w:rPr>
                <w:rFonts w:hint="eastAsia" w:ascii="仿宋" w:hAnsi="仿宋" w:eastAsia="仿宋" w:cs="仿宋"/>
                <w:kern w:val="2"/>
                <w:sz w:val="21"/>
                <w:szCs w:val="21"/>
                <w:vertAlign w:val="superscript"/>
              </w:rPr>
              <w:t>2</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680" w:type="dxa"/>
            <w:gridSpan w:val="7"/>
            <w:vAlign w:val="center"/>
          </w:tcPr>
          <w:p>
            <w:pPr>
              <w:autoSpaceDE w:val="0"/>
              <w:autoSpaceDN w:val="0"/>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2.6-二氯-4—氨基苯酚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真空泵</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15kw</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配酸釜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硝化釜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还原加氢釜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1500L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1.0-1.2MPa</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蒸馏釜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流化床干燥设备</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680" w:type="dxa"/>
            <w:gridSpan w:val="7"/>
            <w:vAlign w:val="center"/>
          </w:tcPr>
          <w:p>
            <w:pPr>
              <w:autoSpaceDE w:val="0"/>
              <w:autoSpaceDN w:val="0"/>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间硝基苯甲酸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真空泵</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15kw</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硝化釜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水解釜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碱析釜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精制釜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298"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酸析釜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谢爱田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680" w:type="dxa"/>
            <w:gridSpan w:val="7"/>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2-甲基苯氧乙酸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18</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6300L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5000L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10000L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反应釜</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6300L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常压</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12</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5000L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7</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储罐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3000L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8</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变频离心机</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Φ1250</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9</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压滤机</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1250</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10</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水喷射真空机组</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1000</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11</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计量罐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若干</w:t>
            </w:r>
          </w:p>
        </w:tc>
        <w:tc>
          <w:tcPr>
            <w:tcW w:w="1507" w:type="dxa"/>
            <w:vAlign w:val="center"/>
          </w:tcPr>
          <w:p>
            <w:pPr>
              <w:spacing w:beforeLines="20" w:line="288" w:lineRule="auto"/>
              <w:jc w:val="center"/>
              <w:rPr>
                <w:rFonts w:ascii="仿宋" w:hAnsi="仿宋" w:eastAsia="仿宋" w:cs="仿宋"/>
                <w:kern w:val="2"/>
                <w:sz w:val="21"/>
                <w:szCs w:val="21"/>
              </w:rPr>
            </w:pP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12</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冷凝罐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Φ2.6m×2.8m</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13</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立罐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Φ2.6m×2.8m</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14</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卧罐</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5000L</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exact"/>
          <w:jc w:val="center"/>
        </w:trPr>
        <w:tc>
          <w:tcPr>
            <w:tcW w:w="87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15</w:t>
            </w:r>
          </w:p>
        </w:tc>
        <w:tc>
          <w:tcPr>
            <w:tcW w:w="2298"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冷凝器</w:t>
            </w:r>
          </w:p>
        </w:tc>
        <w:tc>
          <w:tcPr>
            <w:tcW w:w="7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台</w:t>
            </w:r>
          </w:p>
        </w:tc>
        <w:tc>
          <w:tcPr>
            <w:tcW w:w="643"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15</w:t>
            </w:r>
          </w:p>
        </w:tc>
        <w:tc>
          <w:tcPr>
            <w:tcW w:w="1507" w:type="dxa"/>
            <w:vAlign w:val="center"/>
          </w:tcPr>
          <w:p>
            <w:pPr>
              <w:spacing w:beforeLines="20" w:line="288" w:lineRule="auto"/>
              <w:jc w:val="center"/>
              <w:rPr>
                <w:rFonts w:ascii="仿宋" w:hAnsi="仿宋" w:eastAsia="仿宋" w:cs="仿宋"/>
                <w:kern w:val="2"/>
                <w:sz w:val="21"/>
                <w:szCs w:val="21"/>
              </w:rPr>
            </w:pPr>
            <w:r>
              <w:rPr>
                <w:rFonts w:hint="eastAsia" w:ascii="仿宋" w:hAnsi="仿宋" w:eastAsia="仿宋" w:cs="仿宋"/>
                <w:kern w:val="2"/>
                <w:sz w:val="21"/>
                <w:szCs w:val="21"/>
              </w:rPr>
              <w:t>30m</w:t>
            </w:r>
            <w:r>
              <w:rPr>
                <w:rFonts w:hint="eastAsia" w:ascii="仿宋" w:hAnsi="仿宋" w:eastAsia="仿宋" w:cs="仿宋"/>
                <w:kern w:val="2"/>
                <w:sz w:val="21"/>
                <w:szCs w:val="21"/>
                <w:vertAlign w:val="superscript"/>
              </w:rPr>
              <w:t>2</w:t>
            </w:r>
          </w:p>
        </w:tc>
        <w:tc>
          <w:tcPr>
            <w:tcW w:w="1352"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256" w:type="dxa"/>
            <w:vAlign w:val="center"/>
          </w:tcPr>
          <w:p>
            <w:pPr>
              <w:adjustRightInd w:val="0"/>
              <w:snapToGrid w:val="0"/>
              <w:jc w:val="center"/>
              <w:rPr>
                <w:rFonts w:ascii="仿宋" w:hAnsi="仿宋" w:eastAsia="仿宋" w:cs="仿宋"/>
                <w:kern w:val="2"/>
                <w:sz w:val="21"/>
                <w:szCs w:val="21"/>
              </w:rPr>
            </w:pPr>
            <w:r>
              <w:rPr>
                <w:rFonts w:hint="eastAsia" w:ascii="仿宋" w:hAnsi="仿宋" w:eastAsia="仿宋" w:cs="仿宋"/>
                <w:kern w:val="2"/>
                <w:sz w:val="21"/>
                <w:szCs w:val="21"/>
              </w:rPr>
              <w:t>孙行用</w:t>
            </w:r>
          </w:p>
        </w:tc>
      </w:tr>
    </w:tbl>
    <w:p>
      <w:pPr>
        <w:widowControl/>
        <w:snapToGrid w:val="0"/>
        <w:spacing w:line="360" w:lineRule="auto"/>
        <w:ind w:firstLine="560"/>
        <w:jc w:val="center"/>
        <w:rPr>
          <w:rFonts w:ascii="仿宋_GB2312" w:eastAsia="仿宋_GB2312" w:cs="仿宋_GB2312"/>
          <w:b/>
          <w:sz w:val="24"/>
          <w:szCs w:val="24"/>
        </w:rPr>
      </w:pPr>
    </w:p>
    <w:p>
      <w:pPr>
        <w:snapToGrid w:val="0"/>
        <w:spacing w:line="360" w:lineRule="auto"/>
        <w:ind w:firstLine="560" w:firstLineChars="200"/>
        <w:outlineLvl w:val="2"/>
        <w:rPr>
          <w:rFonts w:ascii="仿宋_GB2312" w:hAnsi="华文细黑" w:eastAsia="仿宋_GB2312"/>
          <w:sz w:val="28"/>
          <w:szCs w:val="28"/>
        </w:rPr>
      </w:pPr>
      <w:bookmarkStart w:id="39" w:name="_Toc16929"/>
      <w:r>
        <w:rPr>
          <w:rFonts w:hint="eastAsia" w:ascii="仿宋_GB2312" w:hAnsi="华文细黑" w:eastAsia="仿宋_GB2312"/>
          <w:sz w:val="28"/>
          <w:szCs w:val="28"/>
        </w:rPr>
        <w:t>2.2.4污染防治情况</w:t>
      </w:r>
      <w:bookmarkEnd w:id="35"/>
      <w:bookmarkEnd w:id="39"/>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sz w:val="24"/>
          <w:szCs w:val="24"/>
        </w:rPr>
        <w:t>公司的主要污染物有废水、废气、固废。</w:t>
      </w:r>
    </w:p>
    <w:p>
      <w:pPr>
        <w:snapToGrid w:val="0"/>
        <w:spacing w:line="360" w:lineRule="auto"/>
        <w:ind w:firstLine="560" w:firstLineChars="200"/>
        <w:outlineLvl w:val="2"/>
        <w:rPr>
          <w:rFonts w:ascii="仿宋_GB2312" w:hAnsi="华文细黑" w:eastAsia="仿宋_GB2312"/>
          <w:sz w:val="28"/>
          <w:szCs w:val="28"/>
        </w:rPr>
      </w:pPr>
      <w:bookmarkStart w:id="40" w:name="_Toc1050"/>
      <w:r>
        <w:rPr>
          <w:rFonts w:hint="eastAsia" w:ascii="仿宋_GB2312" w:hAnsi="华文细黑" w:eastAsia="仿宋_GB2312"/>
          <w:sz w:val="28"/>
          <w:szCs w:val="28"/>
        </w:rPr>
        <w:t>2.2.4.1污染物产生情况</w:t>
      </w:r>
      <w:bookmarkEnd w:id="40"/>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废气情况见表2-5-1。</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废水情况见表2-5-2；</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固废情况见表2-5-3；</w:t>
      </w:r>
    </w:p>
    <w:p>
      <w:pPr>
        <w:snapToGrid w:val="0"/>
        <w:spacing w:line="360" w:lineRule="auto"/>
        <w:ind w:firstLine="482" w:firstLineChars="200"/>
        <w:jc w:val="center"/>
        <w:rPr>
          <w:rFonts w:ascii="仿宋_GB2312" w:hAnsi="华文细黑" w:eastAsia="仿宋_GB2312"/>
          <w:b/>
          <w:sz w:val="24"/>
          <w:szCs w:val="24"/>
        </w:rPr>
      </w:pPr>
      <w:r>
        <w:rPr>
          <w:rFonts w:hint="eastAsia" w:ascii="仿宋_GB2312" w:hAnsi="华文细黑" w:eastAsia="仿宋_GB2312"/>
          <w:b/>
          <w:sz w:val="24"/>
          <w:szCs w:val="24"/>
        </w:rPr>
        <w:t>表2-5-1 废气情况汇总表</w:t>
      </w:r>
    </w:p>
    <w:tbl>
      <w:tblPr>
        <w:tblStyle w:val="26"/>
        <w:tblW w:w="90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1560"/>
        <w:gridCol w:w="1308"/>
        <w:gridCol w:w="1417"/>
        <w:gridCol w:w="1418"/>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04" w:type="dxa"/>
            <w:gridSpan w:val="2"/>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名称</w:t>
            </w:r>
          </w:p>
        </w:tc>
        <w:tc>
          <w:tcPr>
            <w:tcW w:w="130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主要污染物</w:t>
            </w:r>
          </w:p>
        </w:tc>
        <w:tc>
          <w:tcPr>
            <w:tcW w:w="1417"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产生量</w:t>
            </w:r>
          </w:p>
        </w:tc>
        <w:tc>
          <w:tcPr>
            <w:tcW w:w="141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排放量</w:t>
            </w:r>
          </w:p>
        </w:tc>
        <w:tc>
          <w:tcPr>
            <w:tcW w:w="2250"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restart"/>
            <w:tcBorders>
              <w:right w:val="single" w:color="000000" w:sz="4" w:space="0"/>
            </w:tcBorders>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c>
          <w:tcPr>
            <w:tcW w:w="1560" w:type="dxa"/>
            <w:vMerge w:val="restart"/>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氯化反应釜</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Cl</w:t>
            </w:r>
            <w:r>
              <w:rPr>
                <w:rFonts w:hint="eastAsia" w:ascii="仿宋" w:hAnsi="仿宋" w:eastAsia="仿宋" w:cs="仿宋"/>
                <w:kern w:val="2"/>
                <w:sz w:val="21"/>
                <w:szCs w:val="21"/>
                <w:vertAlign w:val="subscript"/>
              </w:rPr>
              <w:t>2</w:t>
            </w:r>
          </w:p>
        </w:tc>
        <w:tc>
          <w:tcPr>
            <w:tcW w:w="1417" w:type="dxa"/>
            <w:vAlign w:val="center"/>
          </w:tcPr>
          <w:p>
            <w:pPr>
              <w:rPr>
                <w:rFonts w:ascii="仿宋" w:hAnsi="仿宋" w:eastAsia="仿宋"/>
                <w:sz w:val="21"/>
                <w:szCs w:val="21"/>
              </w:rPr>
            </w:pPr>
            <w:r>
              <w:rPr>
                <w:rFonts w:hint="eastAsia" w:ascii="仿宋" w:hAnsi="仿宋" w:eastAsia="仿宋"/>
                <w:sz w:val="21"/>
                <w:szCs w:val="21"/>
              </w:rPr>
              <w:t>4t/a</w:t>
            </w:r>
          </w:p>
        </w:tc>
        <w:tc>
          <w:tcPr>
            <w:tcW w:w="1418" w:type="dxa"/>
            <w:vAlign w:val="center"/>
          </w:tcPr>
          <w:p>
            <w:pPr>
              <w:rPr>
                <w:rFonts w:ascii="仿宋" w:hAnsi="仿宋" w:eastAsia="仿宋"/>
                <w:sz w:val="21"/>
                <w:szCs w:val="21"/>
              </w:rPr>
            </w:pPr>
            <w:r>
              <w:rPr>
                <w:rFonts w:hint="eastAsia" w:ascii="仿宋" w:hAnsi="仿宋" w:eastAsia="仿宋"/>
                <w:sz w:val="21"/>
                <w:szCs w:val="21"/>
              </w:rPr>
              <w:t>0.28t/a</w:t>
            </w:r>
          </w:p>
        </w:tc>
        <w:tc>
          <w:tcPr>
            <w:tcW w:w="2250" w:type="dxa"/>
            <w:vMerge w:val="restart"/>
            <w:vAlign w:val="center"/>
          </w:tcPr>
          <w:p>
            <w:pPr>
              <w:rPr>
                <w:rFonts w:ascii="仿宋" w:hAnsi="仿宋" w:eastAsia="仿宋" w:cs="仿宋"/>
                <w:kern w:val="2"/>
                <w:sz w:val="21"/>
                <w:szCs w:val="21"/>
              </w:rPr>
            </w:pPr>
            <w:r>
              <w:rPr>
                <w:rFonts w:hint="eastAsia" w:ascii="仿宋" w:hAnsi="仿宋" w:eastAsia="仿宋" w:cs="仿宋"/>
                <w:kern w:val="2"/>
                <w:sz w:val="21"/>
                <w:szCs w:val="21"/>
              </w:rPr>
              <w:t>降膜碱吸收处理后经25米排气筒排放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vMerge w:val="continue"/>
            <w:tcBorders>
              <w:left w:val="single" w:color="000000" w:sz="4" w:space="0"/>
            </w:tcBorders>
            <w:vAlign w:val="center"/>
          </w:tcPr>
          <w:p>
            <w:pPr>
              <w:rPr>
                <w:rFonts w:ascii="仿宋" w:hAnsi="仿宋" w:eastAsia="仿宋" w:cs="仿宋"/>
                <w:kern w:val="2"/>
                <w:sz w:val="21"/>
                <w:szCs w:val="21"/>
              </w:rPr>
            </w:pP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HCl</w:t>
            </w:r>
          </w:p>
        </w:tc>
        <w:tc>
          <w:tcPr>
            <w:tcW w:w="1417" w:type="dxa"/>
            <w:vAlign w:val="center"/>
          </w:tcPr>
          <w:p>
            <w:pPr>
              <w:widowControl/>
              <w:snapToGrid w:val="0"/>
              <w:spacing w:line="360" w:lineRule="exact"/>
              <w:rPr>
                <w:rFonts w:ascii="仿宋" w:hAnsi="仿宋" w:eastAsia="仿宋" w:cs="仿宋"/>
                <w:kern w:val="2"/>
                <w:sz w:val="21"/>
                <w:szCs w:val="21"/>
              </w:rPr>
            </w:pPr>
            <w:r>
              <w:rPr>
                <w:rFonts w:ascii="仿宋" w:hAnsi="仿宋" w:eastAsia="仿宋" w:cs="仿宋"/>
                <w:kern w:val="2"/>
                <w:sz w:val="21"/>
                <w:szCs w:val="21"/>
              </w:rPr>
              <w:t>1</w:t>
            </w:r>
            <w:r>
              <w:rPr>
                <w:rFonts w:hint="eastAsia" w:ascii="仿宋" w:hAnsi="仿宋" w:eastAsia="仿宋"/>
                <w:sz w:val="21"/>
                <w:szCs w:val="21"/>
              </w:rPr>
              <w:t xml:space="preserve"> t/a</w:t>
            </w:r>
          </w:p>
        </w:tc>
        <w:tc>
          <w:tcPr>
            <w:tcW w:w="1418" w:type="dxa"/>
            <w:vAlign w:val="center"/>
          </w:tcPr>
          <w:p>
            <w:pPr>
              <w:widowControl/>
              <w:snapToGrid w:val="0"/>
              <w:spacing w:line="360" w:lineRule="exact"/>
              <w:rPr>
                <w:rFonts w:ascii="仿宋" w:hAnsi="仿宋" w:eastAsia="仿宋" w:cs="仿宋"/>
                <w:kern w:val="2"/>
                <w:sz w:val="21"/>
                <w:szCs w:val="21"/>
              </w:rPr>
            </w:pPr>
            <w:r>
              <w:rPr>
                <w:rFonts w:ascii="仿宋" w:hAnsi="仿宋" w:eastAsia="仿宋" w:cs="仿宋"/>
                <w:kern w:val="2"/>
                <w:sz w:val="21"/>
                <w:szCs w:val="21"/>
              </w:rPr>
              <w:t>0.02</w:t>
            </w:r>
            <w:r>
              <w:rPr>
                <w:rFonts w:hint="eastAsia" w:ascii="仿宋" w:hAnsi="仿宋" w:eastAsia="仿宋"/>
                <w:sz w:val="21"/>
                <w:szCs w:val="21"/>
              </w:rPr>
              <w:t xml:space="preserve"> t/a</w:t>
            </w:r>
          </w:p>
        </w:tc>
        <w:tc>
          <w:tcPr>
            <w:tcW w:w="2250" w:type="dxa"/>
            <w:vMerge w:val="continue"/>
            <w:vAlign w:val="center"/>
          </w:tcPr>
          <w:p>
            <w:pP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还原反应釜</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p>
        </w:tc>
        <w:tc>
          <w:tcPr>
            <w:tcW w:w="1417" w:type="dxa"/>
            <w:vAlign w:val="center"/>
          </w:tcPr>
          <w:p>
            <w:pPr>
              <w:rPr>
                <w:rFonts w:ascii="仿宋" w:hAnsi="仿宋" w:eastAsia="仿宋"/>
                <w:sz w:val="21"/>
                <w:szCs w:val="21"/>
              </w:rPr>
            </w:pPr>
            <w:r>
              <w:rPr>
                <w:rFonts w:hint="eastAsia" w:ascii="仿宋" w:hAnsi="仿宋" w:eastAsia="仿宋"/>
                <w:sz w:val="21"/>
                <w:szCs w:val="21"/>
              </w:rPr>
              <w:t>0.1t/a</w:t>
            </w:r>
          </w:p>
        </w:tc>
        <w:tc>
          <w:tcPr>
            <w:tcW w:w="1418" w:type="dxa"/>
            <w:vAlign w:val="center"/>
          </w:tcPr>
          <w:p>
            <w:pPr>
              <w:rPr>
                <w:rFonts w:ascii="仿宋" w:hAnsi="仿宋" w:eastAsia="仿宋"/>
                <w:sz w:val="21"/>
                <w:szCs w:val="21"/>
              </w:rPr>
            </w:pPr>
            <w:r>
              <w:rPr>
                <w:rFonts w:hint="eastAsia" w:ascii="仿宋" w:hAnsi="仿宋" w:eastAsia="仿宋"/>
                <w:sz w:val="21"/>
                <w:szCs w:val="21"/>
              </w:rPr>
              <w:t>0.1 t/a</w:t>
            </w:r>
          </w:p>
        </w:tc>
        <w:tc>
          <w:tcPr>
            <w:tcW w:w="2250"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20米排气筒排放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干燥设备</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p>
        </w:tc>
        <w:tc>
          <w:tcPr>
            <w:tcW w:w="1417" w:type="dxa"/>
            <w:vAlign w:val="center"/>
          </w:tcPr>
          <w:p>
            <w:pPr>
              <w:rPr>
                <w:rFonts w:ascii="仿宋" w:hAnsi="仿宋" w:eastAsia="仿宋"/>
                <w:sz w:val="21"/>
                <w:szCs w:val="21"/>
              </w:rPr>
            </w:pPr>
            <w:r>
              <w:rPr>
                <w:rFonts w:hint="eastAsia" w:ascii="仿宋" w:hAnsi="仿宋" w:eastAsia="仿宋"/>
                <w:sz w:val="21"/>
                <w:szCs w:val="21"/>
              </w:rPr>
              <w:t>6 t/a</w:t>
            </w:r>
          </w:p>
        </w:tc>
        <w:tc>
          <w:tcPr>
            <w:tcW w:w="1418" w:type="dxa"/>
            <w:vAlign w:val="center"/>
          </w:tcPr>
          <w:p>
            <w:pPr>
              <w:rPr>
                <w:rFonts w:ascii="仿宋" w:hAnsi="仿宋" w:eastAsia="仿宋"/>
                <w:sz w:val="21"/>
                <w:szCs w:val="21"/>
              </w:rPr>
            </w:pPr>
            <w:r>
              <w:rPr>
                <w:rFonts w:hint="eastAsia" w:ascii="仿宋" w:hAnsi="仿宋" w:eastAsia="仿宋"/>
                <w:sz w:val="21"/>
                <w:szCs w:val="21"/>
              </w:rPr>
              <w:t>6 t/a</w:t>
            </w:r>
          </w:p>
        </w:tc>
        <w:tc>
          <w:tcPr>
            <w:tcW w:w="2250" w:type="dxa"/>
            <w:vMerge w:val="restart"/>
            <w:vAlign w:val="center"/>
          </w:tcPr>
          <w:p>
            <w:pPr>
              <w:rPr>
                <w:rFonts w:ascii="仿宋" w:hAnsi="仿宋" w:eastAsia="仿宋" w:cs="仿宋"/>
                <w:kern w:val="2"/>
                <w:sz w:val="21"/>
                <w:szCs w:val="21"/>
              </w:rPr>
            </w:pPr>
            <w:r>
              <w:rPr>
                <w:rFonts w:hint="eastAsia" w:ascii="仿宋" w:hAnsi="仿宋" w:eastAsia="仿宋" w:cs="仿宋"/>
                <w:kern w:val="2"/>
                <w:sz w:val="21"/>
                <w:szCs w:val="21"/>
              </w:rPr>
              <w:t>车间通风系统排至室外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干燥设备</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p>
        </w:tc>
        <w:tc>
          <w:tcPr>
            <w:tcW w:w="1417" w:type="dxa"/>
            <w:vAlign w:val="center"/>
          </w:tcPr>
          <w:p>
            <w:pPr>
              <w:rPr>
                <w:rFonts w:ascii="仿宋" w:hAnsi="仿宋" w:eastAsia="仿宋"/>
                <w:sz w:val="21"/>
                <w:szCs w:val="21"/>
              </w:rPr>
            </w:pPr>
            <w:r>
              <w:rPr>
                <w:rFonts w:hint="eastAsia" w:ascii="仿宋" w:hAnsi="仿宋" w:eastAsia="仿宋"/>
                <w:sz w:val="21"/>
                <w:szCs w:val="21"/>
              </w:rPr>
              <w:t>18.8 t/a</w:t>
            </w:r>
          </w:p>
        </w:tc>
        <w:tc>
          <w:tcPr>
            <w:tcW w:w="1418" w:type="dxa"/>
            <w:vAlign w:val="center"/>
          </w:tcPr>
          <w:p>
            <w:pPr>
              <w:rPr>
                <w:rFonts w:ascii="仿宋" w:hAnsi="仿宋" w:eastAsia="仿宋"/>
                <w:sz w:val="21"/>
                <w:szCs w:val="21"/>
              </w:rPr>
            </w:pPr>
            <w:r>
              <w:rPr>
                <w:rFonts w:hint="eastAsia" w:ascii="仿宋" w:hAnsi="仿宋" w:eastAsia="仿宋"/>
                <w:sz w:val="21"/>
                <w:szCs w:val="21"/>
              </w:rPr>
              <w:t>18.8 t/a</w:t>
            </w:r>
          </w:p>
        </w:tc>
        <w:tc>
          <w:tcPr>
            <w:tcW w:w="2250" w:type="dxa"/>
            <w:vMerge w:val="continue"/>
            <w:vAlign w:val="center"/>
          </w:tcPr>
          <w:p>
            <w:pPr>
              <w:widowControl/>
              <w:snapToGrid w:val="0"/>
              <w:spacing w:line="360" w:lineRule="exact"/>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4" w:type="dxa"/>
            <w:vMerge w:val="restart"/>
            <w:tcBorders>
              <w:right w:val="single" w:color="000000" w:sz="4" w:space="0"/>
            </w:tcBorders>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2.6-二氯-4-氨基苯酚</w:t>
            </w: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干燥设备</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p>
        </w:tc>
        <w:tc>
          <w:tcPr>
            <w:tcW w:w="1417" w:type="dxa"/>
            <w:vAlign w:val="center"/>
          </w:tcPr>
          <w:p>
            <w:pPr>
              <w:rPr>
                <w:rFonts w:ascii="仿宋" w:hAnsi="仿宋" w:eastAsia="仿宋"/>
                <w:sz w:val="21"/>
                <w:szCs w:val="21"/>
              </w:rPr>
            </w:pPr>
            <w:r>
              <w:rPr>
                <w:rFonts w:hint="eastAsia" w:ascii="仿宋" w:hAnsi="仿宋" w:eastAsia="仿宋"/>
                <w:sz w:val="21"/>
                <w:szCs w:val="21"/>
              </w:rPr>
              <w:t>30 t/a</w:t>
            </w:r>
          </w:p>
        </w:tc>
        <w:tc>
          <w:tcPr>
            <w:tcW w:w="1418" w:type="dxa"/>
            <w:vAlign w:val="center"/>
          </w:tcPr>
          <w:p>
            <w:pPr>
              <w:rPr>
                <w:rFonts w:ascii="仿宋" w:hAnsi="仿宋" w:eastAsia="仿宋"/>
                <w:sz w:val="21"/>
                <w:szCs w:val="21"/>
              </w:rPr>
            </w:pPr>
            <w:r>
              <w:rPr>
                <w:rFonts w:hint="eastAsia" w:ascii="仿宋" w:hAnsi="仿宋" w:eastAsia="仿宋"/>
                <w:sz w:val="21"/>
                <w:szCs w:val="21"/>
              </w:rPr>
              <w:t>30 t/a</w:t>
            </w:r>
          </w:p>
        </w:tc>
        <w:tc>
          <w:tcPr>
            <w:tcW w:w="2250" w:type="dxa"/>
            <w:vAlign w:val="center"/>
          </w:tcPr>
          <w:p>
            <w:pPr>
              <w:rPr>
                <w:rFonts w:ascii="仿宋" w:hAnsi="仿宋" w:eastAsia="仿宋" w:cs="仿宋"/>
                <w:kern w:val="2"/>
                <w:sz w:val="21"/>
                <w:szCs w:val="21"/>
              </w:rPr>
            </w:pPr>
            <w:r>
              <w:rPr>
                <w:rFonts w:hint="eastAsia" w:ascii="仿宋" w:hAnsi="仿宋" w:eastAsia="仿宋" w:cs="仿宋"/>
                <w:kern w:val="2"/>
                <w:sz w:val="21"/>
                <w:szCs w:val="21"/>
              </w:rPr>
              <w:t>20米排气筒排放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还原反应釜</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p>
        </w:tc>
        <w:tc>
          <w:tcPr>
            <w:tcW w:w="1417" w:type="dxa"/>
            <w:vAlign w:val="center"/>
          </w:tcPr>
          <w:p>
            <w:pPr>
              <w:rPr>
                <w:rFonts w:ascii="仿宋" w:hAnsi="仿宋" w:eastAsia="仿宋"/>
                <w:sz w:val="21"/>
                <w:szCs w:val="21"/>
              </w:rPr>
            </w:pPr>
            <w:r>
              <w:rPr>
                <w:rFonts w:hint="eastAsia" w:ascii="仿宋" w:hAnsi="仿宋" w:eastAsia="仿宋"/>
                <w:sz w:val="21"/>
                <w:szCs w:val="21"/>
              </w:rPr>
              <w:t>0.15 t/a</w:t>
            </w:r>
          </w:p>
        </w:tc>
        <w:tc>
          <w:tcPr>
            <w:tcW w:w="1418" w:type="dxa"/>
            <w:vAlign w:val="center"/>
          </w:tcPr>
          <w:p>
            <w:pPr>
              <w:rPr>
                <w:rFonts w:ascii="仿宋" w:hAnsi="仿宋" w:eastAsia="仿宋"/>
                <w:sz w:val="21"/>
                <w:szCs w:val="21"/>
              </w:rPr>
            </w:pPr>
            <w:r>
              <w:rPr>
                <w:rFonts w:hint="eastAsia" w:ascii="仿宋" w:hAnsi="仿宋" w:eastAsia="仿宋"/>
                <w:sz w:val="21"/>
                <w:szCs w:val="21"/>
              </w:rPr>
              <w:t>0.15 t/a</w:t>
            </w:r>
          </w:p>
        </w:tc>
        <w:tc>
          <w:tcPr>
            <w:tcW w:w="2250" w:type="dxa"/>
            <w:vAlign w:val="center"/>
          </w:tcPr>
          <w:p>
            <w:pPr>
              <w:rPr>
                <w:rFonts w:ascii="仿宋" w:hAnsi="仿宋" w:eastAsia="仿宋" w:cs="仿宋"/>
                <w:kern w:val="2"/>
                <w:sz w:val="21"/>
                <w:szCs w:val="21"/>
              </w:rPr>
            </w:pPr>
            <w:r>
              <w:rPr>
                <w:rFonts w:hint="eastAsia" w:ascii="仿宋" w:hAnsi="仿宋" w:eastAsia="仿宋" w:cs="仿宋"/>
                <w:kern w:val="2"/>
                <w:sz w:val="21"/>
                <w:szCs w:val="21"/>
              </w:rPr>
              <w:t>降膜碱吸收处理后经25米排气筒排放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restart"/>
            <w:tcBorders>
              <w:right w:val="single" w:color="000000" w:sz="4" w:space="0"/>
            </w:tcBorders>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2-甲基苯氧乙酸</w:t>
            </w: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邻苯甲酚进料</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邻苯甲酚</w:t>
            </w:r>
          </w:p>
        </w:tc>
        <w:tc>
          <w:tcPr>
            <w:tcW w:w="1417" w:type="dxa"/>
            <w:vAlign w:val="center"/>
          </w:tcPr>
          <w:p>
            <w:pPr>
              <w:snapToGrid w:val="0"/>
              <w:spacing w:line="340" w:lineRule="exact"/>
              <w:rPr>
                <w:rFonts w:ascii="仿宋" w:hAnsi="仿宋" w:eastAsia="仿宋" w:cs="仿宋"/>
                <w:kern w:val="2"/>
                <w:sz w:val="21"/>
                <w:szCs w:val="21"/>
              </w:rPr>
            </w:pPr>
            <w:r>
              <w:rPr>
                <w:rFonts w:hint="eastAsia" w:ascii="仿宋" w:hAnsi="仿宋" w:eastAsia="仿宋" w:cs="仿宋"/>
                <w:kern w:val="2"/>
                <w:sz w:val="21"/>
                <w:szCs w:val="21"/>
              </w:rPr>
              <w:t>0.142</w:t>
            </w:r>
            <w:r>
              <w:rPr>
                <w:rFonts w:hint="eastAsia" w:ascii="仿宋" w:hAnsi="仿宋" w:eastAsia="仿宋"/>
                <w:sz w:val="21"/>
                <w:szCs w:val="21"/>
              </w:rPr>
              <w:t xml:space="preserve"> t/a</w:t>
            </w:r>
          </w:p>
        </w:tc>
        <w:tc>
          <w:tcPr>
            <w:tcW w:w="1418" w:type="dxa"/>
            <w:vAlign w:val="center"/>
          </w:tcPr>
          <w:p>
            <w:pPr>
              <w:snapToGrid w:val="0"/>
              <w:spacing w:line="340" w:lineRule="exact"/>
              <w:rPr>
                <w:rFonts w:ascii="仿宋" w:hAnsi="仿宋" w:eastAsia="仿宋" w:cs="仿宋"/>
                <w:kern w:val="2"/>
                <w:sz w:val="21"/>
                <w:szCs w:val="21"/>
              </w:rPr>
            </w:pPr>
            <w:r>
              <w:rPr>
                <w:rFonts w:hint="eastAsia" w:ascii="仿宋" w:hAnsi="仿宋" w:eastAsia="仿宋" w:cs="仿宋"/>
                <w:kern w:val="2"/>
                <w:sz w:val="21"/>
                <w:szCs w:val="21"/>
              </w:rPr>
              <w:t>0.00142</w:t>
            </w:r>
            <w:r>
              <w:rPr>
                <w:rFonts w:hint="eastAsia" w:ascii="仿宋" w:hAnsi="仿宋" w:eastAsia="仿宋"/>
                <w:sz w:val="21"/>
                <w:szCs w:val="21"/>
              </w:rPr>
              <w:t xml:space="preserve"> t/a</w:t>
            </w:r>
          </w:p>
        </w:tc>
        <w:tc>
          <w:tcPr>
            <w:tcW w:w="2250" w:type="dxa"/>
            <w:vMerge w:val="restart"/>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碱液+活性炭吸收处理后经25米排气筒排放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蒸馏废气</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邻苯甲酚、</w:t>
            </w:r>
          </w:p>
          <w:p>
            <w:pPr>
              <w:rPr>
                <w:rFonts w:ascii="仿宋" w:hAnsi="仿宋" w:eastAsia="仿宋" w:cs="仿宋"/>
                <w:kern w:val="2"/>
                <w:sz w:val="21"/>
                <w:szCs w:val="21"/>
              </w:rPr>
            </w:pPr>
            <w:r>
              <w:rPr>
                <w:rFonts w:hint="eastAsia" w:ascii="仿宋" w:hAnsi="仿宋" w:eastAsia="仿宋" w:cs="仿宋"/>
                <w:kern w:val="2"/>
                <w:sz w:val="21"/>
                <w:szCs w:val="21"/>
              </w:rPr>
              <w:t>二氯乙烷</w:t>
            </w:r>
          </w:p>
        </w:tc>
        <w:tc>
          <w:tcPr>
            <w:tcW w:w="1417"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0.248</w:t>
            </w:r>
            <w:r>
              <w:rPr>
                <w:rFonts w:hint="eastAsia" w:ascii="仿宋" w:hAnsi="仿宋" w:eastAsia="仿宋"/>
                <w:sz w:val="21"/>
                <w:szCs w:val="21"/>
              </w:rPr>
              <w:t xml:space="preserve"> t/a</w:t>
            </w:r>
          </w:p>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0.24</w:t>
            </w:r>
            <w:r>
              <w:rPr>
                <w:rFonts w:hint="eastAsia" w:ascii="仿宋" w:hAnsi="仿宋" w:eastAsia="仿宋"/>
                <w:sz w:val="21"/>
                <w:szCs w:val="21"/>
              </w:rPr>
              <w:t xml:space="preserve"> t/a</w:t>
            </w:r>
          </w:p>
        </w:tc>
        <w:tc>
          <w:tcPr>
            <w:tcW w:w="1418" w:type="dxa"/>
            <w:vAlign w:val="center"/>
          </w:tcPr>
          <w:p>
            <w:pPr>
              <w:widowControl/>
              <w:snapToGrid w:val="0"/>
              <w:spacing w:line="360" w:lineRule="exact"/>
              <w:rPr>
                <w:rFonts w:ascii="仿宋" w:hAnsi="仿宋" w:eastAsia="仿宋" w:cs="仿宋"/>
                <w:bCs/>
                <w:kern w:val="2"/>
                <w:sz w:val="21"/>
                <w:szCs w:val="21"/>
              </w:rPr>
            </w:pPr>
            <w:r>
              <w:rPr>
                <w:rFonts w:hint="eastAsia" w:ascii="仿宋" w:hAnsi="仿宋" w:eastAsia="仿宋" w:cs="仿宋"/>
                <w:kern w:val="2"/>
                <w:sz w:val="21"/>
                <w:szCs w:val="21"/>
              </w:rPr>
              <w:t>0.00248</w:t>
            </w:r>
            <w:r>
              <w:rPr>
                <w:rFonts w:hint="eastAsia" w:ascii="仿宋" w:hAnsi="仿宋" w:eastAsia="仿宋"/>
                <w:sz w:val="21"/>
                <w:szCs w:val="21"/>
              </w:rPr>
              <w:t xml:space="preserve"> t/a</w:t>
            </w:r>
          </w:p>
          <w:p>
            <w:pPr>
              <w:widowControl/>
              <w:snapToGrid w:val="0"/>
              <w:spacing w:line="360" w:lineRule="exact"/>
              <w:rPr>
                <w:rFonts w:ascii="仿宋" w:hAnsi="仿宋" w:eastAsia="仿宋" w:cs="仿宋"/>
                <w:bCs/>
                <w:kern w:val="2"/>
                <w:sz w:val="21"/>
                <w:szCs w:val="21"/>
              </w:rPr>
            </w:pPr>
            <w:r>
              <w:rPr>
                <w:rFonts w:hint="eastAsia" w:ascii="仿宋" w:hAnsi="仿宋" w:eastAsia="仿宋" w:cs="仿宋"/>
                <w:bCs/>
                <w:kern w:val="2"/>
                <w:sz w:val="21"/>
                <w:szCs w:val="21"/>
              </w:rPr>
              <w:t>0.0024</w:t>
            </w:r>
            <w:r>
              <w:rPr>
                <w:rFonts w:hint="eastAsia" w:ascii="仿宋" w:hAnsi="仿宋" w:eastAsia="仿宋"/>
                <w:sz w:val="21"/>
                <w:szCs w:val="21"/>
              </w:rPr>
              <w:t xml:space="preserve"> t/a</w:t>
            </w:r>
          </w:p>
        </w:tc>
        <w:tc>
          <w:tcPr>
            <w:tcW w:w="2250" w:type="dxa"/>
            <w:vMerge w:val="continue"/>
            <w:vAlign w:val="center"/>
          </w:tcPr>
          <w:p>
            <w:pPr>
              <w:widowControl/>
              <w:snapToGrid w:val="0"/>
              <w:spacing w:line="360" w:lineRule="exact"/>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罐区二氯乙烷废气</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二氯乙烷</w:t>
            </w:r>
          </w:p>
        </w:tc>
        <w:tc>
          <w:tcPr>
            <w:tcW w:w="1417"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0.002</w:t>
            </w:r>
            <w:r>
              <w:rPr>
                <w:rFonts w:hint="eastAsia" w:ascii="仿宋" w:hAnsi="仿宋" w:eastAsia="仿宋"/>
                <w:sz w:val="21"/>
                <w:szCs w:val="21"/>
              </w:rPr>
              <w:t xml:space="preserve"> t/a</w:t>
            </w:r>
          </w:p>
        </w:tc>
        <w:tc>
          <w:tcPr>
            <w:tcW w:w="1418"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0.00018</w:t>
            </w:r>
            <w:r>
              <w:rPr>
                <w:rFonts w:hint="eastAsia" w:ascii="仿宋" w:hAnsi="仿宋" w:eastAsia="仿宋"/>
                <w:sz w:val="21"/>
                <w:szCs w:val="21"/>
              </w:rPr>
              <w:t xml:space="preserve"> t/a</w:t>
            </w:r>
          </w:p>
        </w:tc>
        <w:tc>
          <w:tcPr>
            <w:tcW w:w="2250" w:type="dxa"/>
            <w:vMerge w:val="restart"/>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尾气吸收系统处理后经25米排气筒排放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罐区盐酸废气</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盐酸</w:t>
            </w:r>
          </w:p>
        </w:tc>
        <w:tc>
          <w:tcPr>
            <w:tcW w:w="1417"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0.02</w:t>
            </w:r>
            <w:r>
              <w:rPr>
                <w:rFonts w:hint="eastAsia" w:ascii="仿宋" w:hAnsi="仿宋" w:eastAsia="仿宋"/>
                <w:sz w:val="21"/>
                <w:szCs w:val="21"/>
              </w:rPr>
              <w:t xml:space="preserve"> t/a</w:t>
            </w:r>
          </w:p>
        </w:tc>
        <w:tc>
          <w:tcPr>
            <w:tcW w:w="1418"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0.0018</w:t>
            </w:r>
            <w:r>
              <w:rPr>
                <w:rFonts w:hint="eastAsia" w:ascii="仿宋" w:hAnsi="仿宋" w:eastAsia="仿宋"/>
                <w:sz w:val="21"/>
                <w:szCs w:val="21"/>
              </w:rPr>
              <w:t xml:space="preserve"> t/a</w:t>
            </w:r>
          </w:p>
        </w:tc>
        <w:tc>
          <w:tcPr>
            <w:tcW w:w="2250" w:type="dxa"/>
            <w:vMerge w:val="continue"/>
            <w:vAlign w:val="center"/>
          </w:tcPr>
          <w:p>
            <w:pPr>
              <w:widowControl/>
              <w:snapToGrid w:val="0"/>
              <w:spacing w:line="360" w:lineRule="exact"/>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1144" w:type="dxa"/>
            <w:vMerge w:val="continue"/>
            <w:tcBorders>
              <w:right w:val="single" w:color="000000" w:sz="4" w:space="0"/>
            </w:tcBorders>
            <w:vAlign w:val="center"/>
          </w:tcPr>
          <w:p>
            <w:pPr>
              <w:widowControl/>
              <w:snapToGrid w:val="0"/>
              <w:spacing w:line="360" w:lineRule="exact"/>
              <w:rPr>
                <w:rFonts w:ascii="仿宋" w:hAnsi="仿宋" w:eastAsia="仿宋" w:cs="仿宋"/>
                <w:kern w:val="2"/>
                <w:sz w:val="21"/>
                <w:szCs w:val="21"/>
              </w:rPr>
            </w:pPr>
          </w:p>
        </w:tc>
        <w:tc>
          <w:tcPr>
            <w:tcW w:w="1560" w:type="dxa"/>
            <w:tcBorders>
              <w:left w:val="single" w:color="000000" w:sz="4" w:space="0"/>
            </w:tcBorders>
            <w:vAlign w:val="center"/>
          </w:tcPr>
          <w:p>
            <w:pPr>
              <w:rPr>
                <w:rFonts w:ascii="仿宋" w:hAnsi="仿宋" w:eastAsia="仿宋" w:cs="仿宋"/>
                <w:kern w:val="2"/>
                <w:sz w:val="21"/>
                <w:szCs w:val="21"/>
              </w:rPr>
            </w:pPr>
            <w:r>
              <w:rPr>
                <w:rFonts w:hint="eastAsia" w:ascii="仿宋" w:hAnsi="仿宋" w:eastAsia="仿宋" w:cs="仿宋"/>
                <w:kern w:val="2"/>
                <w:sz w:val="21"/>
                <w:szCs w:val="21"/>
              </w:rPr>
              <w:t>装置区二氯乙烷废气</w:t>
            </w:r>
          </w:p>
        </w:tc>
        <w:tc>
          <w:tcPr>
            <w:tcW w:w="1308" w:type="dxa"/>
            <w:vAlign w:val="center"/>
          </w:tcPr>
          <w:p>
            <w:pPr>
              <w:rPr>
                <w:rFonts w:ascii="仿宋" w:hAnsi="仿宋" w:eastAsia="仿宋" w:cs="仿宋"/>
                <w:kern w:val="2"/>
                <w:sz w:val="21"/>
                <w:szCs w:val="21"/>
              </w:rPr>
            </w:pPr>
            <w:r>
              <w:rPr>
                <w:rFonts w:hint="eastAsia" w:ascii="仿宋" w:hAnsi="仿宋" w:eastAsia="仿宋" w:cs="仿宋"/>
                <w:kern w:val="2"/>
                <w:sz w:val="21"/>
                <w:szCs w:val="21"/>
              </w:rPr>
              <w:t>二氯乙烷</w:t>
            </w:r>
          </w:p>
        </w:tc>
        <w:tc>
          <w:tcPr>
            <w:tcW w:w="1417"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0.001</w:t>
            </w:r>
            <w:r>
              <w:rPr>
                <w:rFonts w:hint="eastAsia" w:ascii="仿宋" w:hAnsi="仿宋" w:eastAsia="仿宋"/>
                <w:sz w:val="21"/>
                <w:szCs w:val="21"/>
              </w:rPr>
              <w:t xml:space="preserve"> t/a</w:t>
            </w:r>
          </w:p>
        </w:tc>
        <w:tc>
          <w:tcPr>
            <w:tcW w:w="1418" w:type="dxa"/>
            <w:vAlign w:val="center"/>
          </w:tcPr>
          <w:p>
            <w:pPr>
              <w:widowControl/>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0.00009</w:t>
            </w:r>
            <w:r>
              <w:rPr>
                <w:rFonts w:hint="eastAsia" w:ascii="仿宋" w:hAnsi="仿宋" w:eastAsia="仿宋"/>
                <w:sz w:val="21"/>
                <w:szCs w:val="21"/>
              </w:rPr>
              <w:t xml:space="preserve"> t/a</w:t>
            </w:r>
          </w:p>
        </w:tc>
        <w:tc>
          <w:tcPr>
            <w:tcW w:w="2250" w:type="dxa"/>
            <w:vMerge w:val="continue"/>
            <w:vAlign w:val="center"/>
          </w:tcPr>
          <w:p>
            <w:pPr>
              <w:widowControl/>
              <w:snapToGrid w:val="0"/>
              <w:spacing w:line="360" w:lineRule="exact"/>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704" w:type="dxa"/>
            <w:gridSpan w:val="2"/>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泵房</w:t>
            </w:r>
          </w:p>
        </w:tc>
        <w:tc>
          <w:tcPr>
            <w:tcW w:w="130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VOCs</w:t>
            </w:r>
          </w:p>
        </w:tc>
        <w:tc>
          <w:tcPr>
            <w:tcW w:w="1417" w:type="dxa"/>
            <w:vAlign w:val="center"/>
          </w:tcPr>
          <w:p>
            <w:pPr>
              <w:snapToGrid w:val="0"/>
              <w:spacing w:line="360" w:lineRule="exact"/>
              <w:rPr>
                <w:rFonts w:ascii="仿宋" w:hAnsi="仿宋" w:eastAsia="仿宋" w:cs="仿宋"/>
                <w:kern w:val="2"/>
                <w:sz w:val="21"/>
                <w:szCs w:val="21"/>
              </w:rPr>
            </w:pPr>
            <w:r>
              <w:rPr>
                <w:rFonts w:ascii="仿宋" w:hAnsi="仿宋" w:eastAsia="仿宋" w:cs="仿宋"/>
                <w:kern w:val="2"/>
                <w:sz w:val="21"/>
                <w:szCs w:val="21"/>
              </w:rPr>
              <w:t>0.2</w:t>
            </w:r>
            <w:r>
              <w:rPr>
                <w:rFonts w:hint="eastAsia" w:ascii="仿宋" w:hAnsi="仿宋" w:eastAsia="仿宋"/>
                <w:sz w:val="21"/>
                <w:szCs w:val="21"/>
              </w:rPr>
              <w:t xml:space="preserve"> t/a</w:t>
            </w:r>
          </w:p>
        </w:tc>
        <w:tc>
          <w:tcPr>
            <w:tcW w:w="1418" w:type="dxa"/>
            <w:vAlign w:val="center"/>
          </w:tcPr>
          <w:p>
            <w:pPr>
              <w:snapToGrid w:val="0"/>
              <w:spacing w:line="360" w:lineRule="exact"/>
              <w:rPr>
                <w:rFonts w:ascii="仿宋" w:hAnsi="仿宋" w:eastAsia="仿宋" w:cs="仿宋"/>
                <w:kern w:val="2"/>
                <w:sz w:val="21"/>
                <w:szCs w:val="21"/>
              </w:rPr>
            </w:pPr>
            <w:r>
              <w:rPr>
                <w:rFonts w:ascii="仿宋" w:hAnsi="仿宋" w:eastAsia="仿宋" w:cs="仿宋"/>
                <w:kern w:val="2"/>
                <w:sz w:val="21"/>
                <w:szCs w:val="21"/>
              </w:rPr>
              <w:t>0.1</w:t>
            </w:r>
            <w:r>
              <w:rPr>
                <w:rFonts w:hint="eastAsia" w:ascii="仿宋" w:hAnsi="仿宋" w:eastAsia="仿宋"/>
                <w:sz w:val="21"/>
                <w:szCs w:val="21"/>
              </w:rPr>
              <w:t xml:space="preserve"> t/a</w:t>
            </w:r>
          </w:p>
        </w:tc>
        <w:tc>
          <w:tcPr>
            <w:tcW w:w="2250"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降膜碱液吸收后经25米排气筒排放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704" w:type="dxa"/>
            <w:gridSpan w:val="2"/>
            <w:vMerge w:val="restart"/>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罐区、装卸区</w:t>
            </w:r>
          </w:p>
        </w:tc>
        <w:tc>
          <w:tcPr>
            <w:tcW w:w="130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氯气</w:t>
            </w:r>
          </w:p>
        </w:tc>
        <w:tc>
          <w:tcPr>
            <w:tcW w:w="1417"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0.035</w:t>
            </w:r>
            <w:r>
              <w:rPr>
                <w:rFonts w:hint="eastAsia" w:ascii="仿宋" w:hAnsi="仿宋" w:eastAsia="仿宋"/>
                <w:sz w:val="21"/>
                <w:szCs w:val="21"/>
              </w:rPr>
              <w:t>t/a</w:t>
            </w:r>
          </w:p>
        </w:tc>
        <w:tc>
          <w:tcPr>
            <w:tcW w:w="141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0.035</w:t>
            </w:r>
            <w:r>
              <w:rPr>
                <w:rFonts w:hint="eastAsia" w:ascii="仿宋" w:hAnsi="仿宋" w:eastAsia="仿宋"/>
                <w:sz w:val="21"/>
                <w:szCs w:val="21"/>
              </w:rPr>
              <w:t>t/a</w:t>
            </w:r>
          </w:p>
        </w:tc>
        <w:tc>
          <w:tcPr>
            <w:tcW w:w="2250" w:type="dxa"/>
            <w:vMerge w:val="restart"/>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704" w:type="dxa"/>
            <w:gridSpan w:val="2"/>
            <w:vMerge w:val="continue"/>
            <w:vAlign w:val="center"/>
          </w:tcPr>
          <w:p>
            <w:pPr>
              <w:snapToGrid w:val="0"/>
              <w:spacing w:line="360" w:lineRule="exact"/>
              <w:rPr>
                <w:rFonts w:ascii="仿宋" w:hAnsi="仿宋" w:eastAsia="仿宋" w:cs="仿宋"/>
                <w:kern w:val="2"/>
                <w:sz w:val="21"/>
                <w:szCs w:val="21"/>
              </w:rPr>
            </w:pPr>
          </w:p>
        </w:tc>
        <w:tc>
          <w:tcPr>
            <w:tcW w:w="130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HCl</w:t>
            </w:r>
          </w:p>
        </w:tc>
        <w:tc>
          <w:tcPr>
            <w:tcW w:w="1417"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0.02</w:t>
            </w:r>
            <w:r>
              <w:rPr>
                <w:rFonts w:hint="eastAsia" w:ascii="仿宋" w:hAnsi="仿宋" w:eastAsia="仿宋"/>
                <w:sz w:val="21"/>
                <w:szCs w:val="21"/>
              </w:rPr>
              <w:t xml:space="preserve"> t/a</w:t>
            </w:r>
          </w:p>
        </w:tc>
        <w:tc>
          <w:tcPr>
            <w:tcW w:w="141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0.02</w:t>
            </w:r>
            <w:r>
              <w:rPr>
                <w:rFonts w:hint="eastAsia" w:ascii="仿宋" w:hAnsi="仿宋" w:eastAsia="仿宋"/>
                <w:sz w:val="21"/>
                <w:szCs w:val="21"/>
              </w:rPr>
              <w:t xml:space="preserve"> t/a</w:t>
            </w:r>
          </w:p>
        </w:tc>
        <w:tc>
          <w:tcPr>
            <w:tcW w:w="2250" w:type="dxa"/>
            <w:vMerge w:val="continue"/>
            <w:vAlign w:val="center"/>
          </w:tcPr>
          <w:p>
            <w:pPr>
              <w:snapToGrid w:val="0"/>
              <w:spacing w:line="360" w:lineRule="exact"/>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704" w:type="dxa"/>
            <w:gridSpan w:val="2"/>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污水处理站</w:t>
            </w:r>
          </w:p>
        </w:tc>
        <w:tc>
          <w:tcPr>
            <w:tcW w:w="130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H</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S</w:t>
            </w:r>
          </w:p>
        </w:tc>
        <w:tc>
          <w:tcPr>
            <w:tcW w:w="1417"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0.004</w:t>
            </w:r>
            <w:r>
              <w:rPr>
                <w:rFonts w:hint="eastAsia" w:ascii="仿宋" w:hAnsi="仿宋" w:eastAsia="仿宋"/>
                <w:sz w:val="21"/>
                <w:szCs w:val="21"/>
              </w:rPr>
              <w:t xml:space="preserve"> t/a</w:t>
            </w:r>
          </w:p>
        </w:tc>
        <w:tc>
          <w:tcPr>
            <w:tcW w:w="1418"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0.004</w:t>
            </w:r>
            <w:r>
              <w:rPr>
                <w:rFonts w:hint="eastAsia" w:ascii="仿宋" w:hAnsi="仿宋" w:eastAsia="仿宋"/>
                <w:sz w:val="21"/>
                <w:szCs w:val="21"/>
              </w:rPr>
              <w:t xml:space="preserve"> t/a</w:t>
            </w:r>
          </w:p>
        </w:tc>
        <w:tc>
          <w:tcPr>
            <w:tcW w:w="2250" w:type="dxa"/>
            <w:vAlign w:val="center"/>
          </w:tcPr>
          <w:p>
            <w:pPr>
              <w:snapToGrid w:val="0"/>
              <w:spacing w:line="360" w:lineRule="exact"/>
              <w:rPr>
                <w:rFonts w:ascii="仿宋" w:hAnsi="仿宋" w:eastAsia="仿宋" w:cs="仿宋"/>
                <w:kern w:val="2"/>
                <w:sz w:val="21"/>
                <w:szCs w:val="21"/>
              </w:rPr>
            </w:pPr>
            <w:r>
              <w:rPr>
                <w:rFonts w:hint="eastAsia" w:ascii="仿宋" w:hAnsi="仿宋" w:eastAsia="仿宋" w:cs="仿宋"/>
                <w:kern w:val="2"/>
                <w:sz w:val="21"/>
                <w:szCs w:val="21"/>
              </w:rPr>
              <w:t>无组织排放</w:t>
            </w:r>
          </w:p>
        </w:tc>
      </w:tr>
    </w:tbl>
    <w:p>
      <w:pPr>
        <w:snapToGrid w:val="0"/>
        <w:spacing w:line="360" w:lineRule="auto"/>
        <w:ind w:firstLine="482" w:firstLineChars="200"/>
        <w:jc w:val="center"/>
        <w:rPr>
          <w:rFonts w:ascii="仿宋_GB2312" w:hAnsi="华文细黑" w:eastAsia="仿宋_GB2312"/>
          <w:b/>
          <w:bCs/>
          <w:sz w:val="24"/>
          <w:szCs w:val="24"/>
        </w:rPr>
      </w:pPr>
    </w:p>
    <w:p>
      <w:pPr>
        <w:snapToGrid w:val="0"/>
        <w:spacing w:line="360" w:lineRule="auto"/>
        <w:ind w:firstLine="482" w:firstLineChars="200"/>
        <w:jc w:val="center"/>
        <w:rPr>
          <w:rFonts w:ascii="仿宋_GB2312" w:hAnsi="华文细黑" w:eastAsia="仿宋_GB2312"/>
          <w:b/>
          <w:bCs/>
          <w:sz w:val="24"/>
          <w:szCs w:val="24"/>
        </w:rPr>
      </w:pPr>
    </w:p>
    <w:p>
      <w:pPr>
        <w:snapToGrid w:val="0"/>
        <w:spacing w:line="360" w:lineRule="auto"/>
        <w:ind w:firstLine="482" w:firstLineChars="200"/>
        <w:jc w:val="center"/>
        <w:rPr>
          <w:rFonts w:ascii="仿宋_GB2312" w:hAnsi="华文细黑" w:eastAsia="仿宋_GB2312"/>
          <w:sz w:val="24"/>
          <w:szCs w:val="24"/>
        </w:rPr>
      </w:pPr>
      <w:r>
        <w:rPr>
          <w:rFonts w:hint="eastAsia" w:ascii="仿宋_GB2312" w:hAnsi="华文细黑" w:eastAsia="仿宋_GB2312"/>
          <w:b/>
          <w:bCs/>
          <w:sz w:val="24"/>
          <w:szCs w:val="24"/>
        </w:rPr>
        <w:t>表2-5-2 废水情况汇总表</w:t>
      </w:r>
    </w:p>
    <w:tbl>
      <w:tblPr>
        <w:tblStyle w:val="26"/>
        <w:tblW w:w="9120" w:type="dxa"/>
        <w:jc w:val="center"/>
        <w:tblInd w:w="-8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985"/>
        <w:gridCol w:w="1274"/>
        <w:gridCol w:w="2707"/>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工段</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污染源</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废水产生量（t/a）</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污染物</w:t>
            </w:r>
          </w:p>
        </w:tc>
        <w:tc>
          <w:tcPr>
            <w:tcW w:w="179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环庚三烯酚酮</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缩合反应后蒸馏</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82.5</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厂内污水处理站处理后经市政污水管网排北沟镇污水处理厂进一步处理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水解后萃取</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57.6</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氯化反应后水洗</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102</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甩干机</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128</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tcPr>
          <w:p>
            <w:pP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2.6-二氯-4-氨基苯酚</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硝化反应后甩干</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300</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蒸馏塔</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231</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tcPr>
          <w:p>
            <w:pP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间硝基苯甲酸</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水解反应后抽滤</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2120</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碱析后甩干</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400</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酸洗后甩干</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860</w:t>
            </w:r>
          </w:p>
        </w:tc>
        <w:tc>
          <w:tcPr>
            <w:tcW w:w="2707" w:type="dxa"/>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Align w:val="center"/>
          </w:tcPr>
          <w:p>
            <w:pPr>
              <w:widowControl/>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2-甲基苯氧乙酸</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母液萃取</w:t>
            </w:r>
          </w:p>
        </w:tc>
        <w:tc>
          <w:tcPr>
            <w:tcW w:w="1274" w:type="dxa"/>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4937.8</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2-甲基苯氧乙酸、邻苯甲酚、二氯乙烷、Na</w:t>
            </w:r>
            <w:r>
              <w:rPr>
                <w:rFonts w:hint="eastAsia" w:ascii="仿宋" w:hAnsi="仿宋" w:eastAsia="仿宋" w:cs="仿宋"/>
                <w:kern w:val="2"/>
                <w:sz w:val="21"/>
                <w:szCs w:val="21"/>
                <w:vertAlign w:val="superscript"/>
              </w:rPr>
              <w:t>+</w:t>
            </w:r>
            <w:r>
              <w:rPr>
                <w:rFonts w:hint="eastAsia" w:ascii="仿宋" w:hAnsi="仿宋" w:eastAsia="仿宋" w:cs="仿宋"/>
                <w:kern w:val="2"/>
                <w:sz w:val="21"/>
                <w:szCs w:val="21"/>
              </w:rPr>
              <w:t>、H</w:t>
            </w:r>
            <w:r>
              <w:rPr>
                <w:rFonts w:hint="eastAsia" w:ascii="仿宋" w:hAnsi="仿宋" w:eastAsia="仿宋" w:cs="仿宋"/>
                <w:kern w:val="2"/>
                <w:sz w:val="21"/>
                <w:szCs w:val="21"/>
                <w:vertAlign w:val="superscript"/>
              </w:rPr>
              <w:t>+</w:t>
            </w:r>
            <w:r>
              <w:rPr>
                <w:rFonts w:hint="eastAsia" w:ascii="仿宋" w:hAnsi="仿宋" w:eastAsia="仿宋" w:cs="仿宋"/>
                <w:kern w:val="2"/>
                <w:sz w:val="21"/>
                <w:szCs w:val="21"/>
              </w:rPr>
              <w:t>、Cl</w:t>
            </w:r>
            <w:r>
              <w:rPr>
                <w:rFonts w:hint="eastAsia" w:ascii="仿宋" w:hAnsi="仿宋" w:eastAsia="仿宋" w:cs="仿宋"/>
                <w:kern w:val="2"/>
                <w:sz w:val="21"/>
                <w:szCs w:val="21"/>
                <w:vertAlign w:val="superscript"/>
              </w:rPr>
              <w:t>-</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总流程</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设备清洗</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810</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尾气吸收</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336</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pH、COD、BOD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公用工程</w:t>
            </w: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循环冷却系统排水</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1080</w:t>
            </w:r>
          </w:p>
        </w:tc>
        <w:tc>
          <w:tcPr>
            <w:tcW w:w="2707" w:type="dxa"/>
            <w:vAlign w:val="center"/>
          </w:tcPr>
          <w:p>
            <w:pPr>
              <w:rPr>
                <w:rFonts w:ascii="仿宋" w:hAnsi="仿宋" w:eastAsia="仿宋" w:cs="仿宋"/>
                <w:kern w:val="2"/>
                <w:sz w:val="21"/>
                <w:szCs w:val="21"/>
              </w:rPr>
            </w:pPr>
            <w:r>
              <w:rPr>
                <w:rFonts w:hint="eastAsia" w:ascii="仿宋" w:hAnsi="仿宋" w:eastAsia="仿宋" w:cs="仿宋"/>
                <w:kern w:val="2"/>
                <w:sz w:val="21"/>
                <w:szCs w:val="21"/>
              </w:rPr>
              <w:t>浓盐水、COD、BOD</w:t>
            </w:r>
            <w:r>
              <w:rPr>
                <w:rFonts w:hint="eastAsia" w:ascii="仿宋" w:hAnsi="仿宋" w:eastAsia="仿宋" w:cs="仿宋"/>
                <w:kern w:val="2"/>
                <w:sz w:val="21"/>
                <w:szCs w:val="21"/>
                <w:vertAlign w:val="subscript"/>
              </w:rPr>
              <w:t>5</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水喷射真空机组</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77400</w:t>
            </w:r>
          </w:p>
        </w:tc>
        <w:tc>
          <w:tcPr>
            <w:tcW w:w="2707" w:type="dxa"/>
            <w:vAlign w:val="center"/>
          </w:tcPr>
          <w:p>
            <w:pPr>
              <w:rPr>
                <w:rFonts w:ascii="仿宋" w:hAnsi="仿宋" w:eastAsia="仿宋" w:cs="仿宋"/>
                <w:kern w:val="2"/>
                <w:sz w:val="21"/>
                <w:szCs w:val="21"/>
              </w:rPr>
            </w:pPr>
            <w:r>
              <w:rPr>
                <w:rFonts w:hint="eastAsia" w:ascii="仿宋" w:hAnsi="仿宋" w:eastAsia="仿宋" w:cs="仿宋"/>
                <w:kern w:val="2"/>
                <w:sz w:val="21"/>
                <w:szCs w:val="21"/>
              </w:rPr>
              <w:t>COD、浓盐水</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地面冲洗水</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2439</w:t>
            </w:r>
          </w:p>
        </w:tc>
        <w:tc>
          <w:tcPr>
            <w:tcW w:w="2707" w:type="dxa"/>
            <w:vAlign w:val="center"/>
          </w:tcPr>
          <w:p>
            <w:pPr>
              <w:rPr>
                <w:rFonts w:ascii="仿宋" w:hAnsi="仿宋" w:eastAsia="仿宋" w:cs="仿宋"/>
                <w:kern w:val="2"/>
                <w:sz w:val="21"/>
                <w:szCs w:val="21"/>
              </w:rPr>
            </w:pPr>
            <w:r>
              <w:rPr>
                <w:rFonts w:hint="eastAsia" w:ascii="仿宋" w:hAnsi="仿宋" w:eastAsia="仿宋" w:cs="仿宋"/>
                <w:kern w:val="2"/>
                <w:sz w:val="21"/>
                <w:szCs w:val="21"/>
              </w:rPr>
              <w:t>SS、COD、BOD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等</w:t>
            </w:r>
          </w:p>
        </w:tc>
        <w:tc>
          <w:tcPr>
            <w:tcW w:w="1795"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9" w:type="dxa"/>
            <w:vMerge w:val="continue"/>
            <w:vAlign w:val="center"/>
          </w:tcPr>
          <w:p>
            <w:pPr>
              <w:jc w:val="center"/>
              <w:rPr>
                <w:rFonts w:ascii="仿宋" w:hAnsi="仿宋" w:eastAsia="仿宋" w:cs="仿宋"/>
                <w:kern w:val="2"/>
                <w:sz w:val="21"/>
                <w:szCs w:val="21"/>
              </w:rPr>
            </w:pPr>
          </w:p>
        </w:tc>
        <w:tc>
          <w:tcPr>
            <w:tcW w:w="198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生活污水</w:t>
            </w:r>
          </w:p>
        </w:tc>
        <w:tc>
          <w:tcPr>
            <w:tcW w:w="1274"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3585</w:t>
            </w:r>
          </w:p>
        </w:tc>
        <w:tc>
          <w:tcPr>
            <w:tcW w:w="270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COD、BOD</w:t>
            </w:r>
            <w:r>
              <w:rPr>
                <w:rFonts w:hint="eastAsia" w:ascii="仿宋" w:hAnsi="仿宋" w:eastAsia="仿宋" w:cs="仿宋"/>
                <w:kern w:val="2"/>
                <w:sz w:val="21"/>
                <w:szCs w:val="21"/>
                <w:vertAlign w:val="subscript"/>
              </w:rPr>
              <w:t>5</w:t>
            </w:r>
            <w:r>
              <w:rPr>
                <w:rFonts w:hint="eastAsia" w:ascii="仿宋" w:hAnsi="仿宋" w:eastAsia="仿宋" w:cs="仿宋"/>
                <w:kern w:val="2"/>
                <w:sz w:val="21"/>
                <w:szCs w:val="21"/>
              </w:rPr>
              <w:t>、氨氮等</w:t>
            </w:r>
          </w:p>
        </w:tc>
        <w:tc>
          <w:tcPr>
            <w:tcW w:w="1795" w:type="dxa"/>
            <w:vMerge w:val="continue"/>
            <w:vAlign w:val="center"/>
          </w:tcPr>
          <w:p>
            <w:pPr>
              <w:jc w:val="center"/>
              <w:rPr>
                <w:rFonts w:ascii="仿宋" w:hAnsi="仿宋" w:eastAsia="仿宋" w:cs="仿宋"/>
                <w:kern w:val="2"/>
                <w:sz w:val="21"/>
                <w:szCs w:val="21"/>
              </w:rPr>
            </w:pPr>
          </w:p>
        </w:tc>
      </w:tr>
    </w:tbl>
    <w:p>
      <w:pPr>
        <w:snapToGrid w:val="0"/>
        <w:spacing w:line="360" w:lineRule="auto"/>
        <w:ind w:firstLine="482" w:firstLineChars="200"/>
        <w:jc w:val="center"/>
        <w:rPr>
          <w:rFonts w:ascii="仿宋_GB2312" w:hAnsi="华文细黑" w:eastAsia="仿宋_GB2312"/>
          <w:b/>
          <w:bCs/>
          <w:sz w:val="24"/>
          <w:szCs w:val="24"/>
        </w:rPr>
      </w:pPr>
    </w:p>
    <w:p>
      <w:pPr>
        <w:snapToGrid w:val="0"/>
        <w:spacing w:line="360" w:lineRule="auto"/>
        <w:ind w:firstLine="480" w:firstLineChars="200"/>
        <w:jc w:val="center"/>
        <w:rPr>
          <w:rFonts w:ascii="仿宋_GB2312" w:hAnsi="华文细黑" w:eastAsia="仿宋_GB2312"/>
          <w:sz w:val="24"/>
          <w:szCs w:val="24"/>
        </w:rPr>
      </w:pPr>
      <w:r>
        <w:rPr>
          <w:rFonts w:hint="eastAsia" w:ascii="仿宋_GB2312" w:hAnsi="华文细黑" w:eastAsia="仿宋_GB2312"/>
          <w:sz w:val="24"/>
          <w:szCs w:val="24"/>
        </w:rPr>
        <w:br w:type="page"/>
      </w:r>
    </w:p>
    <w:p>
      <w:pPr>
        <w:snapToGrid w:val="0"/>
        <w:spacing w:line="360" w:lineRule="auto"/>
        <w:ind w:firstLine="482" w:firstLineChars="200"/>
        <w:jc w:val="center"/>
        <w:rPr>
          <w:rFonts w:ascii="仿宋_GB2312" w:hAnsi="华文细黑" w:eastAsia="仿宋_GB2312"/>
          <w:sz w:val="24"/>
          <w:szCs w:val="24"/>
        </w:rPr>
      </w:pPr>
      <w:r>
        <w:rPr>
          <w:rFonts w:hint="eastAsia" w:ascii="仿宋_GB2312" w:hAnsi="华文细黑" w:eastAsia="仿宋_GB2312"/>
          <w:b/>
          <w:bCs/>
          <w:sz w:val="24"/>
          <w:szCs w:val="24"/>
        </w:rPr>
        <w:t>表2-5-3 固废产生情况汇总表</w:t>
      </w:r>
    </w:p>
    <w:tbl>
      <w:tblPr>
        <w:tblStyle w:val="26"/>
        <w:tblW w:w="9125" w:type="dxa"/>
        <w:jc w:val="center"/>
        <w:tblInd w:w="-4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481"/>
        <w:gridCol w:w="1075"/>
        <w:gridCol w:w="1760"/>
        <w:gridCol w:w="1560"/>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Align w:val="center"/>
          </w:tcPr>
          <w:p>
            <w:pPr>
              <w:jc w:val="center"/>
              <w:rPr>
                <w:rFonts w:ascii="仿宋" w:hAnsi="仿宋" w:eastAsia="仿宋" w:cs="仿宋"/>
                <w:b/>
                <w:kern w:val="2"/>
                <w:sz w:val="21"/>
                <w:szCs w:val="21"/>
              </w:rPr>
            </w:pPr>
            <w:r>
              <w:rPr>
                <w:rFonts w:hint="eastAsia" w:ascii="仿宋" w:hAnsi="仿宋" w:eastAsia="仿宋" w:cs="仿宋"/>
                <w:b/>
                <w:kern w:val="2"/>
                <w:sz w:val="21"/>
                <w:szCs w:val="21"/>
              </w:rPr>
              <w:t>工艺</w:t>
            </w:r>
          </w:p>
        </w:tc>
        <w:tc>
          <w:tcPr>
            <w:tcW w:w="1481" w:type="dxa"/>
            <w:vAlign w:val="center"/>
          </w:tcPr>
          <w:p>
            <w:pPr>
              <w:jc w:val="center"/>
              <w:rPr>
                <w:rFonts w:ascii="仿宋" w:hAnsi="仿宋" w:eastAsia="仿宋" w:cs="仿宋"/>
                <w:b/>
                <w:kern w:val="2"/>
                <w:sz w:val="21"/>
                <w:szCs w:val="21"/>
              </w:rPr>
            </w:pPr>
            <w:r>
              <w:rPr>
                <w:rFonts w:hint="eastAsia" w:ascii="仿宋" w:hAnsi="仿宋" w:eastAsia="仿宋" w:cs="仿宋"/>
                <w:b/>
                <w:kern w:val="2"/>
                <w:sz w:val="21"/>
                <w:szCs w:val="21"/>
              </w:rPr>
              <w:t>产生环节</w:t>
            </w:r>
          </w:p>
        </w:tc>
        <w:tc>
          <w:tcPr>
            <w:tcW w:w="1075" w:type="dxa"/>
            <w:vAlign w:val="center"/>
          </w:tcPr>
          <w:p>
            <w:pPr>
              <w:jc w:val="center"/>
              <w:rPr>
                <w:rFonts w:ascii="仿宋" w:hAnsi="仿宋" w:eastAsia="仿宋" w:cs="仿宋"/>
                <w:b/>
                <w:kern w:val="2"/>
                <w:sz w:val="21"/>
                <w:szCs w:val="21"/>
              </w:rPr>
            </w:pPr>
            <w:r>
              <w:rPr>
                <w:rFonts w:hint="eastAsia" w:ascii="仿宋" w:hAnsi="仿宋" w:eastAsia="仿宋" w:cs="仿宋"/>
                <w:b/>
                <w:kern w:val="2"/>
                <w:sz w:val="21"/>
                <w:szCs w:val="21"/>
              </w:rPr>
              <w:t>产生量（t/a）</w:t>
            </w:r>
          </w:p>
        </w:tc>
        <w:tc>
          <w:tcPr>
            <w:tcW w:w="1760" w:type="dxa"/>
            <w:vAlign w:val="center"/>
          </w:tcPr>
          <w:p>
            <w:pPr>
              <w:ind w:firstLine="198"/>
              <w:jc w:val="center"/>
              <w:rPr>
                <w:rFonts w:ascii="仿宋" w:hAnsi="仿宋" w:eastAsia="仿宋" w:cs="仿宋"/>
                <w:b/>
                <w:kern w:val="2"/>
                <w:sz w:val="21"/>
                <w:szCs w:val="21"/>
              </w:rPr>
            </w:pPr>
            <w:r>
              <w:rPr>
                <w:rFonts w:hint="eastAsia" w:ascii="仿宋" w:hAnsi="仿宋" w:eastAsia="仿宋" w:cs="仿宋"/>
                <w:b/>
                <w:kern w:val="2"/>
                <w:sz w:val="21"/>
                <w:szCs w:val="21"/>
              </w:rPr>
              <w:t>污染物</w:t>
            </w:r>
          </w:p>
        </w:tc>
        <w:tc>
          <w:tcPr>
            <w:tcW w:w="1560" w:type="dxa"/>
            <w:vAlign w:val="center"/>
          </w:tcPr>
          <w:p>
            <w:pPr>
              <w:jc w:val="center"/>
              <w:rPr>
                <w:rFonts w:ascii="仿宋" w:hAnsi="仿宋" w:eastAsia="仿宋" w:cs="仿宋"/>
                <w:b/>
                <w:kern w:val="2"/>
                <w:sz w:val="21"/>
                <w:szCs w:val="21"/>
              </w:rPr>
            </w:pPr>
            <w:r>
              <w:rPr>
                <w:rFonts w:hint="eastAsia" w:ascii="仿宋" w:hAnsi="仿宋" w:eastAsia="仿宋" w:cs="仿宋"/>
                <w:b/>
                <w:kern w:val="2"/>
                <w:sz w:val="21"/>
                <w:szCs w:val="21"/>
              </w:rPr>
              <w:t>是否属于</w:t>
            </w:r>
          </w:p>
          <w:p>
            <w:pPr>
              <w:jc w:val="center"/>
              <w:rPr>
                <w:rFonts w:ascii="仿宋" w:hAnsi="仿宋" w:eastAsia="仿宋" w:cs="仿宋"/>
                <w:b/>
                <w:kern w:val="2"/>
                <w:sz w:val="21"/>
                <w:szCs w:val="21"/>
              </w:rPr>
            </w:pPr>
            <w:r>
              <w:rPr>
                <w:rFonts w:hint="eastAsia" w:ascii="仿宋" w:hAnsi="仿宋" w:eastAsia="仿宋" w:cs="仿宋"/>
                <w:b/>
                <w:kern w:val="2"/>
                <w:sz w:val="21"/>
                <w:szCs w:val="21"/>
              </w:rPr>
              <w:t>危险废物</w:t>
            </w:r>
          </w:p>
        </w:tc>
        <w:tc>
          <w:tcPr>
            <w:tcW w:w="1697" w:type="dxa"/>
            <w:vAlign w:val="center"/>
          </w:tcPr>
          <w:p>
            <w:pPr>
              <w:ind w:firstLine="198"/>
              <w:jc w:val="center"/>
              <w:rPr>
                <w:rFonts w:ascii="仿宋" w:hAnsi="仿宋" w:eastAsia="仿宋" w:cs="仿宋"/>
                <w:b/>
                <w:kern w:val="2"/>
                <w:sz w:val="21"/>
                <w:szCs w:val="21"/>
              </w:rPr>
            </w:pPr>
            <w:r>
              <w:rPr>
                <w:rFonts w:hint="eastAsia" w:ascii="仿宋" w:hAnsi="仿宋" w:eastAsia="仿宋" w:cs="仿宋"/>
                <w:b/>
                <w:kern w:val="2"/>
                <w:sz w:val="21"/>
                <w:szCs w:val="21"/>
              </w:rPr>
              <w:t>处理去向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1552"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环庚三烯酚酮</w:t>
            </w: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解聚釜</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3.84</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反应釜残液</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HW11废物</w:t>
            </w:r>
          </w:p>
        </w:tc>
        <w:tc>
          <w:tcPr>
            <w:tcW w:w="1697"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委托烟台绿环再生资源有限公司处置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蒸馏釜</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8.8</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反应釜残液</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HW11废物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导热油炉</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废导热油</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HW08废物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蒸馏釜</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提纯残渣</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HW11废物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邻氨基苯磺酰N-乙基苯胺</w:t>
            </w: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氯化反应釜</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10</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氯化反应母液</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HW11废物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间硝基苯甲酸</w:t>
            </w: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精制工序</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18</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废活性炭</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HW49废物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2-甲基苯氧乙酸</w:t>
            </w: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缩合过滤</w:t>
            </w:r>
          </w:p>
        </w:tc>
        <w:tc>
          <w:tcPr>
            <w:tcW w:w="1075" w:type="dxa"/>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0.519</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废渣</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HW39废物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除杂质</w:t>
            </w:r>
          </w:p>
        </w:tc>
        <w:tc>
          <w:tcPr>
            <w:tcW w:w="1075" w:type="dxa"/>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15</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机械杂质、</w:t>
            </w:r>
            <w:r>
              <w:rPr>
                <w:rFonts w:hint="eastAsia" w:ascii="仿宋" w:hAnsi="仿宋" w:eastAsia="仿宋" w:cs="仿宋"/>
                <w:kern w:val="2"/>
                <w:sz w:val="21"/>
                <w:szCs w:val="21"/>
                <w:lang w:val="en-GB"/>
              </w:rPr>
              <w:t>邻苯甲酚、二氯乙烷</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HW39废物</w:t>
            </w:r>
          </w:p>
        </w:tc>
        <w:tc>
          <w:tcPr>
            <w:tcW w:w="1697" w:type="dxa"/>
            <w:vMerge w:val="continue"/>
            <w:vAlign w:val="center"/>
          </w:tcPr>
          <w:p>
            <w:pPr>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浓缩除盐</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1591</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氯化钠</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否</w:t>
            </w:r>
          </w:p>
        </w:tc>
        <w:tc>
          <w:tcPr>
            <w:tcW w:w="1697"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公用工程</w:t>
            </w: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泵房</w:t>
            </w:r>
          </w:p>
        </w:tc>
        <w:tc>
          <w:tcPr>
            <w:tcW w:w="1075" w:type="dxa"/>
            <w:shd w:val="clear" w:color="auto" w:fill="FFFFFF" w:themeFill="background1"/>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8.4</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废活性炭</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HW49废物</w:t>
            </w:r>
          </w:p>
        </w:tc>
        <w:tc>
          <w:tcPr>
            <w:tcW w:w="1697" w:type="dxa"/>
            <w:vMerge w:val="restart"/>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烟台绿环再生资源有限公司处置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废气处理设施</w:t>
            </w:r>
          </w:p>
        </w:tc>
        <w:tc>
          <w:tcPr>
            <w:tcW w:w="1075" w:type="dxa"/>
            <w:shd w:val="clear" w:color="auto" w:fill="FFFFFF" w:themeFill="background1"/>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2.4</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废活性炭</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HW49废物</w:t>
            </w:r>
          </w:p>
        </w:tc>
        <w:tc>
          <w:tcPr>
            <w:tcW w:w="1697" w:type="dxa"/>
            <w:vMerge w:val="continue"/>
            <w:vAlign w:val="center"/>
          </w:tcPr>
          <w:p>
            <w:pPr>
              <w:ind w:firstLine="198"/>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污水处理站</w:t>
            </w:r>
          </w:p>
        </w:tc>
        <w:tc>
          <w:tcPr>
            <w:tcW w:w="1075" w:type="dxa"/>
            <w:shd w:val="clear" w:color="auto" w:fill="FFFFFF" w:themeFill="background1"/>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15</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污泥</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HW49其他废物</w:t>
            </w:r>
          </w:p>
        </w:tc>
        <w:tc>
          <w:tcPr>
            <w:tcW w:w="1697" w:type="dxa"/>
            <w:vMerge w:val="continue"/>
            <w:vAlign w:val="center"/>
          </w:tcPr>
          <w:p>
            <w:pPr>
              <w:ind w:firstLine="198"/>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废包装物</w:t>
            </w:r>
          </w:p>
        </w:tc>
        <w:tc>
          <w:tcPr>
            <w:tcW w:w="1075" w:type="dxa"/>
            <w:shd w:val="clear" w:color="auto" w:fill="FFFFFF" w:themeFill="background1"/>
            <w:vAlign w:val="center"/>
          </w:tcPr>
          <w:p>
            <w:pPr>
              <w:spacing w:line="320" w:lineRule="exact"/>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编织袋、包装桶</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HW49其他废物</w:t>
            </w:r>
          </w:p>
        </w:tc>
        <w:tc>
          <w:tcPr>
            <w:tcW w:w="1697" w:type="dxa"/>
            <w:vMerge w:val="continue"/>
            <w:vAlign w:val="center"/>
          </w:tcPr>
          <w:p>
            <w:pPr>
              <w:ind w:firstLine="198"/>
              <w:jc w:val="center"/>
              <w:rPr>
                <w:rFonts w:ascii="仿宋" w:hAnsi="仿宋" w:eastAsia="仿宋" w:cs="仿宋"/>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2" w:type="dxa"/>
            <w:vMerge w:val="continue"/>
            <w:vAlign w:val="center"/>
          </w:tcPr>
          <w:p>
            <w:pPr>
              <w:ind w:firstLine="198"/>
              <w:jc w:val="center"/>
              <w:rPr>
                <w:rFonts w:ascii="仿宋" w:hAnsi="仿宋" w:eastAsia="仿宋" w:cs="仿宋"/>
                <w:kern w:val="2"/>
                <w:sz w:val="21"/>
                <w:szCs w:val="21"/>
              </w:rPr>
            </w:pPr>
          </w:p>
        </w:tc>
        <w:tc>
          <w:tcPr>
            <w:tcW w:w="1481"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生活垃圾</w:t>
            </w:r>
          </w:p>
        </w:tc>
        <w:tc>
          <w:tcPr>
            <w:tcW w:w="1075"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26</w:t>
            </w:r>
          </w:p>
        </w:tc>
        <w:tc>
          <w:tcPr>
            <w:tcW w:w="17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果皮、纸张等</w:t>
            </w:r>
          </w:p>
        </w:tc>
        <w:tc>
          <w:tcPr>
            <w:tcW w:w="1560" w:type="dxa"/>
            <w:vAlign w:val="center"/>
          </w:tcPr>
          <w:p>
            <w:pPr>
              <w:jc w:val="center"/>
              <w:rPr>
                <w:rFonts w:ascii="仿宋" w:hAnsi="仿宋" w:eastAsia="仿宋" w:cs="仿宋"/>
                <w:kern w:val="2"/>
                <w:sz w:val="21"/>
                <w:szCs w:val="21"/>
              </w:rPr>
            </w:pPr>
            <w:r>
              <w:rPr>
                <w:rFonts w:hint="eastAsia" w:ascii="仿宋" w:hAnsi="仿宋" w:eastAsia="仿宋" w:cs="仿宋"/>
                <w:kern w:val="2"/>
                <w:sz w:val="21"/>
                <w:szCs w:val="21"/>
              </w:rPr>
              <w:t>否</w:t>
            </w:r>
          </w:p>
        </w:tc>
        <w:tc>
          <w:tcPr>
            <w:tcW w:w="1697" w:type="dxa"/>
            <w:vAlign w:val="center"/>
          </w:tcPr>
          <w:p>
            <w:pPr>
              <w:ind w:firstLine="198"/>
              <w:jc w:val="center"/>
              <w:rPr>
                <w:rFonts w:ascii="仿宋" w:hAnsi="仿宋" w:eastAsia="仿宋" w:cs="仿宋"/>
                <w:kern w:val="2"/>
                <w:sz w:val="21"/>
                <w:szCs w:val="21"/>
              </w:rPr>
            </w:pPr>
            <w:r>
              <w:rPr>
                <w:rFonts w:hint="eastAsia" w:ascii="仿宋" w:hAnsi="仿宋" w:eastAsia="仿宋" w:cs="仿宋"/>
                <w:kern w:val="2"/>
                <w:sz w:val="21"/>
                <w:szCs w:val="21"/>
              </w:rPr>
              <w:t>环卫部门清运</w:t>
            </w:r>
          </w:p>
        </w:tc>
      </w:tr>
    </w:tbl>
    <w:p>
      <w:pPr>
        <w:snapToGrid w:val="0"/>
        <w:spacing w:line="360" w:lineRule="auto"/>
        <w:ind w:firstLine="560" w:firstLineChars="200"/>
        <w:outlineLvl w:val="2"/>
        <w:rPr>
          <w:rFonts w:ascii="仿宋_GB2312" w:hAnsi="华文细黑" w:eastAsia="仿宋_GB2312"/>
          <w:sz w:val="28"/>
          <w:szCs w:val="28"/>
        </w:rPr>
      </w:pPr>
      <w:bookmarkStart w:id="41" w:name="_Toc31684"/>
      <w:r>
        <w:rPr>
          <w:rFonts w:hint="eastAsia" w:ascii="仿宋_GB2312" w:hAnsi="华文细黑" w:eastAsia="仿宋_GB2312"/>
          <w:sz w:val="28"/>
          <w:szCs w:val="28"/>
        </w:rPr>
        <w:t>2.2.4.2污染物治理及排放情况</w:t>
      </w:r>
      <w:bookmarkEnd w:id="41"/>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（1）废水处理情况</w:t>
      </w:r>
    </w:p>
    <w:p>
      <w:pPr>
        <w:snapToGrid w:val="0"/>
        <w:spacing w:line="360" w:lineRule="auto"/>
        <w:ind w:firstLine="480"/>
        <w:jc w:val="left"/>
        <w:rPr>
          <w:rFonts w:ascii="仿宋" w:hAnsi="仿宋" w:eastAsia="仿宋" w:cs="仿宋"/>
          <w:kern w:val="2"/>
          <w:sz w:val="24"/>
          <w:szCs w:val="24"/>
        </w:rPr>
      </w:pPr>
      <w:r>
        <w:rPr>
          <w:rFonts w:hint="eastAsia" w:ascii="仿宋_GB2312" w:hAnsi="华文细黑" w:eastAsia="仿宋_GB2312"/>
          <w:sz w:val="24"/>
          <w:szCs w:val="24"/>
        </w:rPr>
        <w:t>废水包括生产废水和生活污水。生产废水主要包括生产过程中产生的工艺废水、设备清洗废水、尾气吸收废水、循环冷却系统排水、真空机组排水和地面冲洗水。生活污水为食堂、宿舍产生的生活废水。生产废水产生量91283.7m</w:t>
      </w:r>
      <w:r>
        <w:rPr>
          <w:rFonts w:hint="eastAsia" w:ascii="仿宋_GB2312" w:hAnsi="华文细黑" w:eastAsia="仿宋_GB2312"/>
          <w:sz w:val="24"/>
          <w:szCs w:val="24"/>
          <w:vertAlign w:val="superscript"/>
        </w:rPr>
        <w:t>3</w:t>
      </w:r>
      <w:r>
        <w:rPr>
          <w:rFonts w:hint="eastAsia" w:ascii="仿宋_GB2312" w:hAnsi="华文细黑" w:eastAsia="仿宋_GB2312"/>
          <w:sz w:val="24"/>
          <w:szCs w:val="24"/>
        </w:rPr>
        <w:t>/a，生活污水产生量3585m</w:t>
      </w:r>
      <w:r>
        <w:rPr>
          <w:rFonts w:hint="eastAsia" w:ascii="仿宋_GB2312" w:hAnsi="华文细黑" w:eastAsia="仿宋_GB2312"/>
          <w:sz w:val="24"/>
          <w:szCs w:val="24"/>
          <w:vertAlign w:val="superscript"/>
        </w:rPr>
        <w:t>3</w:t>
      </w:r>
      <w:r>
        <w:rPr>
          <w:rFonts w:hint="eastAsia" w:ascii="仿宋_GB2312" w:hAnsi="华文细黑" w:eastAsia="仿宋_GB2312"/>
          <w:sz w:val="24"/>
          <w:szCs w:val="24"/>
        </w:rPr>
        <w:t>/a。生产废水经厂内污水处理站处理达标后经市政污水管网外排，生活污水经化验合格后，与处理后的生产废水一同外排，若生活污水化验不合格，打入厂内污水处理站处理，处理达标后经市政污水管网外排。</w:t>
      </w:r>
    </w:p>
    <w:p>
      <w:pPr>
        <w:snapToGrid w:val="0"/>
        <w:spacing w:line="360" w:lineRule="auto"/>
        <w:ind w:firstLine="480"/>
        <w:jc w:val="left"/>
        <w:rPr>
          <w:rFonts w:ascii="仿宋" w:hAnsi="仿宋" w:eastAsia="仿宋" w:cs="仿宋"/>
          <w:sz w:val="21"/>
          <w:szCs w:val="21"/>
        </w:rPr>
      </w:pPr>
      <w:r>
        <w:rPr>
          <w:rFonts w:hint="eastAsia" w:ascii="仿宋_GB2312" w:hAnsi="华文细黑" w:eastAsia="仿宋_GB2312"/>
          <w:sz w:val="24"/>
          <w:szCs w:val="24"/>
        </w:rPr>
        <w:t>公司建设一座处理能力为500m</w:t>
      </w:r>
      <w:r>
        <w:rPr>
          <w:rFonts w:hint="eastAsia" w:ascii="仿宋_GB2312" w:hAnsi="华文细黑" w:eastAsia="仿宋_GB2312"/>
          <w:sz w:val="24"/>
          <w:szCs w:val="24"/>
          <w:vertAlign w:val="superscript"/>
        </w:rPr>
        <w:t>3</w:t>
      </w:r>
      <w:r>
        <w:rPr>
          <w:rFonts w:hint="eastAsia" w:ascii="仿宋_GB2312" w:hAnsi="华文细黑" w:eastAsia="仿宋_GB2312"/>
          <w:sz w:val="24"/>
          <w:szCs w:val="24"/>
        </w:rPr>
        <w:t>/d的污水处理站，生产污水至调节池（1），由污水提升泵将污水抽到铁床，经铁床微电解处理后，自流至中沉池，中沉池出水自流到中间水池，在此期间，根据污水水质，加石灰液、硫酸和PAM至中和槽。自流至中间池的污水由中间池提升泵提升至沉淀池，由沉淀池自流至调节池（2），再由调节池（2）提升泵把污水抽到PSB池，自流至水解酸化池，再自流到一级生化池和二级生化池，由生化池自流至沉淀池，污泥沉淀，上清液自流至清水池，清水排放。</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sz w:val="24"/>
          <w:szCs w:val="24"/>
        </w:rPr>
        <w:t>污水处理站</w:t>
      </w:r>
      <w:r>
        <w:rPr>
          <w:rFonts w:hint="eastAsia" w:ascii="仿宋_GB2312" w:eastAsia="仿宋_GB2312"/>
          <w:sz w:val="24"/>
          <w:szCs w:val="24"/>
        </w:rPr>
        <w:t>处理工艺见图2-6。</w:t>
      </w:r>
    </w:p>
    <w:p>
      <w:pPr>
        <w:snapToGrid w:val="0"/>
        <w:spacing w:line="360" w:lineRule="auto"/>
        <w:jc w:val="center"/>
        <w:rPr>
          <w:rFonts w:ascii="Times New Roman" w:hAnsi="Times New Roman" w:cs="Times New Roman"/>
          <w:color w:val="FF0000"/>
          <w:kern w:val="2"/>
          <w:sz w:val="24"/>
          <w:szCs w:val="24"/>
        </w:rPr>
      </w:pPr>
      <w:r>
        <w:drawing>
          <wp:inline distT="0" distB="0" distL="114300" distR="114300">
            <wp:extent cx="2954655" cy="4514215"/>
            <wp:effectExtent l="0" t="0" r="17145" b="635"/>
            <wp:docPr id="12" name="图片 6" descr="C:\Documents and Settings\Administrator\桌面\QQ截图201506021114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C:\Documents and Settings\Administrator\桌面\QQ截图20150602111420.png"/>
                    <pic:cNvPicPr>
                      <a:picLocks noChangeAspect="1"/>
                    </pic:cNvPicPr>
                  </pic:nvPicPr>
                  <pic:blipFill>
                    <a:blip r:embed="rId18"/>
                    <a:stretch>
                      <a:fillRect/>
                    </a:stretch>
                  </pic:blipFill>
                  <pic:spPr>
                    <a:xfrm>
                      <a:off x="0" y="0"/>
                      <a:ext cx="2954655" cy="4514215"/>
                    </a:xfrm>
                    <a:prstGeom prst="rect">
                      <a:avLst/>
                    </a:prstGeom>
                    <a:noFill/>
                    <a:ln w="9525">
                      <a:noFill/>
                    </a:ln>
                  </pic:spPr>
                </pic:pic>
              </a:graphicData>
            </a:graphic>
          </wp:inline>
        </w:drawing>
      </w:r>
    </w:p>
    <w:p>
      <w:pPr>
        <w:snapToGrid w:val="0"/>
        <w:spacing w:line="360" w:lineRule="auto"/>
        <w:jc w:val="center"/>
        <w:rPr>
          <w:rFonts w:ascii="Times New Roman"/>
        </w:rPr>
      </w:pPr>
      <w:r>
        <w:rPr>
          <w:rFonts w:hint="eastAsia" w:ascii="Times New Roman" w:hAnsi="Times New Roman" w:cs="Times New Roman"/>
          <w:b/>
          <w:bCs/>
          <w:kern w:val="2"/>
          <w:sz w:val="24"/>
          <w:szCs w:val="24"/>
        </w:rPr>
        <w:t>图2-6</w:t>
      </w:r>
      <w:r>
        <w:rPr>
          <w:rFonts w:hint="eastAsia" w:ascii="仿宋_GB2312" w:hAnsi="华文细黑" w:eastAsia="仿宋_GB2312"/>
          <w:b/>
          <w:bCs/>
          <w:sz w:val="24"/>
          <w:szCs w:val="24"/>
        </w:rPr>
        <w:t>污水处理站</w:t>
      </w:r>
      <w:r>
        <w:rPr>
          <w:rFonts w:hint="eastAsia" w:ascii="仿宋_GB2312" w:eastAsia="仿宋_GB2312"/>
          <w:b/>
          <w:bCs/>
          <w:sz w:val="24"/>
          <w:szCs w:val="24"/>
        </w:rPr>
        <w:t>处理工艺</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（2）废气处理情况</w:t>
      </w:r>
    </w:p>
    <w:p>
      <w:pPr>
        <w:snapToGrid w:val="0"/>
        <w:spacing w:line="360" w:lineRule="auto"/>
        <w:ind w:firstLine="480" w:firstLineChars="200"/>
        <w:rPr>
          <w:rFonts w:ascii="仿宋_GB2312" w:eastAsia="仿宋_GB2312"/>
          <w:kern w:val="2"/>
          <w:sz w:val="24"/>
          <w:szCs w:val="24"/>
        </w:rPr>
      </w:pPr>
      <w:r>
        <w:rPr>
          <w:rFonts w:hint="eastAsia" w:ascii="仿宋_GB2312" w:hAnsi="华文细黑" w:eastAsia="仿宋_GB2312"/>
          <w:sz w:val="24"/>
          <w:szCs w:val="24"/>
        </w:rPr>
        <w:t>生产废气主要包括：生产过程中反应釜排放废气、罐区排放废气、装置区排放废气，所有废气经车间废气处理设施处理后再经厂级废气处理设施，处理后的废气经25米排气筒达标排放</w:t>
      </w:r>
      <w:r>
        <w:rPr>
          <w:rFonts w:hint="eastAsia" w:ascii="仿宋_GB2312" w:eastAsia="仿宋_GB2312"/>
          <w:kern w:val="2"/>
          <w:sz w:val="24"/>
          <w:szCs w:val="24"/>
        </w:rPr>
        <w:t>。</w:t>
      </w:r>
    </w:p>
    <w:p>
      <w:pPr>
        <w:snapToGrid w:val="0"/>
        <w:spacing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（三）固废处理情况</w:t>
      </w:r>
    </w:p>
    <w:p>
      <w:pPr>
        <w:snapToGrid w:val="0"/>
        <w:spacing w:line="360" w:lineRule="auto"/>
        <w:ind w:firstLine="480" w:firstLineChars="200"/>
        <w:rPr>
          <w:rFonts w:ascii="仿宋_GB2312" w:hAnsi="华文细黑" w:eastAsia="仿宋_GB2312"/>
          <w:szCs w:val="28"/>
        </w:rPr>
      </w:pPr>
      <w:r>
        <w:rPr>
          <w:rFonts w:hint="eastAsia" w:ascii="仿宋" w:hAnsi="仿宋" w:eastAsia="仿宋" w:cs="仿宋"/>
          <w:sz w:val="24"/>
          <w:szCs w:val="24"/>
        </w:rPr>
        <w:t>公司固体废物分一般固废和危险废物两种。危险废物主要为反应釜残液、废导热油、废活性炭、废水处理过程中产生的污泥及原料废包装物，全部委托鑫广绿环再生资源股份有限公司处置；一般固废包括2-甲基苯氧乙酸</w:t>
      </w:r>
      <w:r>
        <w:rPr>
          <w:rFonts w:hint="eastAsia" w:ascii="仿宋" w:hAnsi="仿宋" w:eastAsia="仿宋" w:cs="仿宋"/>
          <w:color w:val="000000"/>
          <w:sz w:val="24"/>
          <w:szCs w:val="24"/>
          <w:lang w:val="en-GB"/>
        </w:rPr>
        <w:t>浓缩除盐过程产生工业盐，外售；</w:t>
      </w:r>
      <w:r>
        <w:rPr>
          <w:rFonts w:hint="eastAsia" w:ascii="仿宋" w:hAnsi="仿宋" w:eastAsia="仿宋" w:cs="仿宋"/>
          <w:sz w:val="24"/>
          <w:szCs w:val="24"/>
        </w:rPr>
        <w:t>生活垃圾由环卫部门定期清运。</w:t>
      </w:r>
    </w:p>
    <w:p>
      <w:pPr>
        <w:pStyle w:val="3"/>
        <w:snapToGrid w:val="0"/>
        <w:spacing w:before="0" w:after="0" w:line="360" w:lineRule="auto"/>
        <w:rPr>
          <w:rFonts w:ascii="仿宋_GB2312" w:hAnsi="华文细黑" w:eastAsia="仿宋_GB2312"/>
          <w:szCs w:val="28"/>
        </w:rPr>
      </w:pPr>
      <w:bookmarkStart w:id="42" w:name="_Toc9274"/>
      <w:r>
        <w:rPr>
          <w:rFonts w:hint="eastAsia" w:ascii="仿宋" w:hAnsi="仿宋" w:eastAsia="仿宋" w:cs="仿宋"/>
          <w:b w:val="0"/>
          <w:bCs/>
          <w:sz w:val="28"/>
          <w:szCs w:val="28"/>
        </w:rPr>
        <w:t>2.3周边环境状况及环境保护目标</w:t>
      </w:r>
      <w:bookmarkEnd w:id="42"/>
    </w:p>
    <w:p>
      <w:pPr>
        <w:snapToGrid w:val="0"/>
        <w:spacing w:line="360" w:lineRule="auto"/>
        <w:ind w:firstLine="560" w:firstLineChars="200"/>
        <w:outlineLvl w:val="2"/>
        <w:rPr>
          <w:rFonts w:ascii="仿宋_GB2312" w:hAnsi="华文细黑" w:eastAsia="仿宋_GB2312"/>
          <w:sz w:val="28"/>
          <w:szCs w:val="28"/>
        </w:rPr>
      </w:pPr>
      <w:bookmarkStart w:id="43" w:name="_Toc25582"/>
      <w:r>
        <w:rPr>
          <w:rFonts w:hint="eastAsia" w:ascii="仿宋_GB2312" w:hAnsi="华文细黑" w:eastAsia="仿宋_GB2312"/>
          <w:sz w:val="28"/>
          <w:szCs w:val="28"/>
        </w:rPr>
        <w:t>2.3.1周边环境状况</w:t>
      </w:r>
      <w:bookmarkEnd w:id="43"/>
    </w:p>
    <w:p>
      <w:pPr>
        <w:snapToGrid w:val="0"/>
        <w:spacing w:line="360" w:lineRule="auto"/>
        <w:ind w:firstLine="450"/>
        <w:rPr>
          <w:rFonts w:ascii="仿宋_GB2312" w:eastAsia="仿宋_GB2312"/>
          <w:kern w:val="2"/>
          <w:sz w:val="24"/>
          <w:szCs w:val="24"/>
        </w:rPr>
      </w:pPr>
      <w:r>
        <w:rPr>
          <w:rFonts w:ascii="仿宋_GB2312" w:eastAsia="仿宋_GB2312"/>
          <w:kern w:val="2"/>
          <w:sz w:val="24"/>
          <w:szCs w:val="24"/>
        </w:rPr>
        <w:t>蓬莱市位于山东半岛的最北端，濒临渤、黄二海，东与日本、韩国隔海相望。按陆界划分，蓬莱市位于东经120°34′～121°08′，北纬37°25′～37°50′之间，东邻福山区，南接栖霞市，西连龙口市，北与长岛县隔海相望。全市总面积1120.6km2。</w:t>
      </w:r>
    </w:p>
    <w:p>
      <w:pPr>
        <w:snapToGrid w:val="0"/>
        <w:spacing w:line="360" w:lineRule="auto"/>
        <w:ind w:firstLine="480" w:firstLineChars="200"/>
        <w:rPr>
          <w:rFonts w:ascii="仿宋_GB2312" w:eastAsia="仿宋_GB2312"/>
          <w:kern w:val="2"/>
          <w:sz w:val="24"/>
          <w:szCs w:val="24"/>
        </w:rPr>
      </w:pPr>
      <w:r>
        <w:rPr>
          <w:rFonts w:ascii="仿宋_GB2312" w:eastAsia="仿宋_GB2312"/>
          <w:kern w:val="2"/>
          <w:sz w:val="24"/>
          <w:szCs w:val="24"/>
        </w:rPr>
        <w:t>北沟镇位于蓬莱市西部，全镇总面积154 km2，辖80个行政村，6万人口。北沟片区为原北沟镇域，位于</w:t>
      </w:r>
      <w:r>
        <w:rPr>
          <w:rFonts w:hint="eastAsia" w:ascii="仿宋_GB2312" w:eastAsia="仿宋_GB2312"/>
          <w:kern w:val="2"/>
          <w:sz w:val="24"/>
          <w:szCs w:val="24"/>
        </w:rPr>
        <w:t>现</w:t>
      </w:r>
      <w:r>
        <w:rPr>
          <w:rFonts w:ascii="仿宋_GB2312" w:eastAsia="仿宋_GB2312"/>
          <w:kern w:val="2"/>
          <w:sz w:val="24"/>
          <w:szCs w:val="24"/>
        </w:rPr>
        <w:t>北沟镇西北部，片区规划面积约78.45km2。</w:t>
      </w:r>
    </w:p>
    <w:p>
      <w:pPr>
        <w:snapToGrid w:val="0"/>
        <w:spacing w:line="360" w:lineRule="auto"/>
        <w:ind w:firstLine="480" w:firstLineChars="200"/>
        <w:rPr>
          <w:rFonts w:ascii="仿宋_GB2312" w:eastAsia="仿宋_GB2312"/>
          <w:kern w:val="2"/>
          <w:sz w:val="24"/>
          <w:szCs w:val="24"/>
        </w:rPr>
      </w:pPr>
      <w:r>
        <w:rPr>
          <w:rFonts w:ascii="仿宋_GB2312" w:eastAsia="仿宋_GB2312"/>
          <w:kern w:val="2"/>
          <w:sz w:val="24"/>
          <w:szCs w:val="24"/>
        </w:rPr>
        <w:t>蓬莱市处于胶东隆起地带，栖霞腹背斜北翼的低山丘陵区。全市土地可分为山地、丘陵、平原三大组合地貌。其中山地65332亩，占总土地面积的48.29%，丘陵380548亩，占总土地面积的31.36%，平原6820亩，占总土地面积的20.35%。</w:t>
      </w:r>
    </w:p>
    <w:p>
      <w:pPr>
        <w:snapToGrid w:val="0"/>
        <w:spacing w:line="360" w:lineRule="auto"/>
        <w:ind w:firstLine="480" w:firstLineChars="200"/>
        <w:rPr>
          <w:rFonts w:ascii="仿宋_GB2312" w:eastAsia="仿宋_GB2312"/>
          <w:kern w:val="2"/>
          <w:sz w:val="24"/>
          <w:szCs w:val="24"/>
        </w:rPr>
      </w:pPr>
      <w:r>
        <w:rPr>
          <w:rFonts w:ascii="仿宋_GB2312" w:eastAsia="仿宋_GB2312"/>
          <w:kern w:val="2"/>
          <w:sz w:val="24"/>
          <w:szCs w:val="24"/>
        </w:rPr>
        <w:t>北沟</w:t>
      </w:r>
      <w:r>
        <w:rPr>
          <w:rFonts w:hint="eastAsia" w:ascii="仿宋_GB2312" w:eastAsia="仿宋_GB2312"/>
          <w:kern w:val="2"/>
          <w:sz w:val="24"/>
          <w:szCs w:val="24"/>
        </w:rPr>
        <w:t>片区</w:t>
      </w:r>
      <w:r>
        <w:rPr>
          <w:rFonts w:ascii="仿宋_GB2312" w:eastAsia="仿宋_GB2312"/>
          <w:kern w:val="2"/>
          <w:sz w:val="24"/>
          <w:szCs w:val="24"/>
        </w:rPr>
        <w:t>东部有迎口山、大王山等山体，因此</w:t>
      </w:r>
      <w:r>
        <w:rPr>
          <w:rFonts w:hint="eastAsia" w:ascii="仿宋_GB2312" w:eastAsia="仿宋_GB2312"/>
          <w:kern w:val="2"/>
          <w:sz w:val="24"/>
          <w:szCs w:val="24"/>
        </w:rPr>
        <w:t>中</w:t>
      </w:r>
      <w:r>
        <w:rPr>
          <w:rFonts w:ascii="仿宋_GB2312" w:eastAsia="仿宋_GB2312"/>
          <w:kern w:val="2"/>
          <w:sz w:val="24"/>
          <w:szCs w:val="24"/>
        </w:rPr>
        <w:t>东部较高，北部和南部地势较低。</w:t>
      </w:r>
    </w:p>
    <w:p>
      <w:pPr>
        <w:snapToGrid w:val="0"/>
        <w:spacing w:line="360" w:lineRule="auto"/>
        <w:ind w:firstLine="480" w:firstLineChars="200"/>
        <w:rPr>
          <w:rFonts w:ascii="仿宋_GB2312" w:eastAsia="仿宋_GB2312"/>
          <w:kern w:val="2"/>
          <w:sz w:val="24"/>
          <w:szCs w:val="24"/>
        </w:rPr>
      </w:pPr>
      <w:r>
        <w:rPr>
          <w:rFonts w:hint="eastAsia" w:ascii="仿宋_GB2312" w:eastAsia="仿宋_GB2312"/>
          <w:kern w:val="2"/>
          <w:sz w:val="24"/>
          <w:szCs w:val="24"/>
        </w:rPr>
        <w:t>蓬莱气象站位于120</w:t>
      </w:r>
      <w:r>
        <w:rPr>
          <w:rFonts w:ascii="仿宋_GB2312" w:eastAsia="仿宋_GB2312"/>
          <w:kern w:val="2"/>
          <w:sz w:val="24"/>
          <w:szCs w:val="24"/>
        </w:rPr>
        <w:t>°</w:t>
      </w:r>
      <w:r>
        <w:rPr>
          <w:rFonts w:hint="eastAsia" w:ascii="仿宋_GB2312" w:eastAsia="仿宋_GB2312"/>
          <w:kern w:val="2"/>
          <w:sz w:val="24"/>
          <w:szCs w:val="24"/>
        </w:rPr>
        <w:t>46</w:t>
      </w:r>
      <w:r>
        <w:rPr>
          <w:rFonts w:ascii="仿宋_GB2312" w:eastAsia="仿宋_GB2312"/>
          <w:kern w:val="2"/>
          <w:sz w:val="24"/>
          <w:szCs w:val="24"/>
        </w:rPr>
        <w:t>′</w:t>
      </w:r>
      <w:r>
        <w:rPr>
          <w:rFonts w:hint="eastAsia" w:ascii="仿宋_GB2312" w:eastAsia="仿宋_GB2312"/>
          <w:kern w:val="2"/>
          <w:sz w:val="24"/>
          <w:szCs w:val="24"/>
        </w:rPr>
        <w:t>E，37</w:t>
      </w:r>
      <w:r>
        <w:rPr>
          <w:rFonts w:ascii="仿宋_GB2312" w:eastAsia="仿宋_GB2312"/>
          <w:kern w:val="2"/>
          <w:sz w:val="24"/>
          <w:szCs w:val="24"/>
        </w:rPr>
        <w:t>°</w:t>
      </w:r>
      <w:r>
        <w:rPr>
          <w:rFonts w:hint="eastAsia" w:ascii="仿宋_GB2312" w:eastAsia="仿宋_GB2312"/>
          <w:kern w:val="2"/>
          <w:sz w:val="24"/>
          <w:szCs w:val="24"/>
        </w:rPr>
        <w:t>48</w:t>
      </w:r>
      <w:r>
        <w:rPr>
          <w:rFonts w:ascii="仿宋_GB2312" w:eastAsia="仿宋_GB2312"/>
          <w:kern w:val="2"/>
          <w:sz w:val="24"/>
          <w:szCs w:val="24"/>
        </w:rPr>
        <w:t>′</w:t>
      </w:r>
      <w:r>
        <w:rPr>
          <w:rFonts w:hint="eastAsia" w:ascii="仿宋_GB2312" w:eastAsia="仿宋_GB2312"/>
          <w:kern w:val="2"/>
          <w:sz w:val="24"/>
          <w:szCs w:val="24"/>
        </w:rPr>
        <w:t>N，台站类别属一般站。据调查，该气象站周围地理环境与气候条件与拟建项目周围基本一致，且气象站距离拟建项目较近，该气象站气象资料具有较好的适用性。蓬莱近20年（1990~2010年）年最大风速为19.0m/s（1992年），极端最高气温和极端最低气温分别为38.7℃（1992年）和-13.5℃（2006年），年最大降水量为938.1mm（2009年）</w:t>
      </w:r>
      <w:r>
        <w:rPr>
          <w:rFonts w:ascii="仿宋_GB2312" w:eastAsia="仿宋_GB2312"/>
          <w:kern w:val="2"/>
          <w:sz w:val="24"/>
          <w:szCs w:val="24"/>
        </w:rPr>
        <w:t>。</w:t>
      </w:r>
    </w:p>
    <w:p>
      <w:pPr>
        <w:snapToGrid w:val="0"/>
        <w:spacing w:line="360" w:lineRule="auto"/>
        <w:ind w:firstLine="480"/>
        <w:rPr>
          <w:rFonts w:ascii="仿宋_GB2312" w:hAnsi="华文细黑" w:eastAsia="仿宋_GB2312"/>
          <w:sz w:val="28"/>
          <w:szCs w:val="28"/>
        </w:rPr>
      </w:pPr>
      <w:r>
        <w:rPr>
          <w:rFonts w:hint="eastAsia" w:ascii="仿宋_GB2312" w:eastAsia="仿宋_GB2312"/>
          <w:kern w:val="2"/>
          <w:sz w:val="24"/>
          <w:szCs w:val="24"/>
        </w:rPr>
        <w:t>公司生产厂址位于蓬莱北沟片区西部的精细化工工业区，地理坐标为</w:t>
      </w:r>
      <w:r>
        <w:rPr>
          <w:rFonts w:hint="eastAsia" w:ascii="仿宋" w:hAnsi="仿宋" w:eastAsia="仿宋" w:cs="仿宋"/>
          <w:color w:val="000000"/>
          <w:sz w:val="24"/>
        </w:rPr>
        <w:t>北纬N37°43′28.80″ 东经E120°35′52.73″</w:t>
      </w:r>
      <w:r>
        <w:rPr>
          <w:rFonts w:hint="eastAsia" w:ascii="仿宋_GB2312" w:eastAsia="仿宋_GB2312"/>
          <w:kern w:val="2"/>
          <w:sz w:val="24"/>
          <w:szCs w:val="24"/>
        </w:rPr>
        <w:t>。厂址所在地距离城区20</w:t>
      </w:r>
      <w:r>
        <w:rPr>
          <w:rFonts w:ascii="仿宋_GB2312" w:eastAsia="仿宋_GB2312"/>
          <w:kern w:val="2"/>
          <w:sz w:val="24"/>
          <w:szCs w:val="24"/>
        </w:rPr>
        <w:t>km</w:t>
      </w:r>
      <w:r>
        <w:rPr>
          <w:rFonts w:hint="eastAsia" w:ascii="仿宋_GB2312" w:eastAsia="仿宋_GB2312"/>
          <w:kern w:val="2"/>
          <w:sz w:val="24"/>
          <w:szCs w:val="24"/>
        </w:rPr>
        <w:t>，</w:t>
      </w:r>
      <w:r>
        <w:rPr>
          <w:rFonts w:ascii="仿宋_GB2312" w:eastAsia="仿宋_GB2312"/>
          <w:kern w:val="2"/>
          <w:sz w:val="24"/>
          <w:szCs w:val="24"/>
        </w:rPr>
        <w:t>交通便利，运输条件良好。蓬莱新机场离厂区约30公里</w:t>
      </w:r>
      <w:r>
        <w:rPr>
          <w:rFonts w:hint="eastAsia" w:ascii="仿宋_GB2312" w:eastAsia="仿宋_GB2312"/>
          <w:kern w:val="2"/>
          <w:sz w:val="24"/>
          <w:szCs w:val="24"/>
        </w:rPr>
        <w:t>；</w:t>
      </w:r>
      <w:r>
        <w:rPr>
          <w:rFonts w:ascii="仿宋_GB2312" w:eastAsia="仿宋_GB2312"/>
          <w:kern w:val="2"/>
          <w:sz w:val="24"/>
          <w:szCs w:val="24"/>
        </w:rPr>
        <w:t>铁路主要以德龙烟铁路经过地区为中心，南侧设有货运站场，从货运站接支线向北沿疏港路西侧通往港口</w:t>
      </w:r>
      <w:r>
        <w:rPr>
          <w:rFonts w:hint="eastAsia" w:ascii="仿宋_GB2312" w:eastAsia="仿宋_GB2312"/>
          <w:kern w:val="2"/>
          <w:sz w:val="24"/>
          <w:szCs w:val="24"/>
        </w:rPr>
        <w:t>；</w:t>
      </w:r>
      <w:r>
        <w:rPr>
          <w:rFonts w:ascii="仿宋_GB2312" w:eastAsia="仿宋_GB2312"/>
          <w:kern w:val="2"/>
          <w:sz w:val="24"/>
          <w:szCs w:val="24"/>
        </w:rPr>
        <w:t>烟蓬观光大道建成通车</w:t>
      </w:r>
      <w:r>
        <w:rPr>
          <w:rFonts w:hint="eastAsia" w:ascii="仿宋_GB2312" w:eastAsia="仿宋_GB2312"/>
          <w:kern w:val="2"/>
          <w:sz w:val="24"/>
          <w:szCs w:val="24"/>
        </w:rPr>
        <w:t>；</w:t>
      </w:r>
      <w:r>
        <w:fldChar w:fldCharType="begin"/>
      </w:r>
      <w:r>
        <w:instrText xml:space="preserve"> HYPERLINK "http://baike.baidu.com/view/4008376.htm" \t "_blank" </w:instrText>
      </w:r>
      <w:r>
        <w:fldChar w:fldCharType="separate"/>
      </w:r>
      <w:r>
        <w:rPr>
          <w:rFonts w:ascii="仿宋_GB2312" w:eastAsia="仿宋_GB2312"/>
          <w:kern w:val="2"/>
          <w:sz w:val="24"/>
          <w:szCs w:val="24"/>
        </w:rPr>
        <w:t>栾家口</w:t>
      </w:r>
      <w:r>
        <w:rPr>
          <w:rFonts w:ascii="仿宋_GB2312" w:eastAsia="仿宋_GB2312"/>
          <w:kern w:val="2"/>
          <w:sz w:val="24"/>
          <w:szCs w:val="24"/>
        </w:rPr>
        <w:fldChar w:fldCharType="end"/>
      </w:r>
      <w:r>
        <w:rPr>
          <w:rFonts w:ascii="仿宋_GB2312" w:eastAsia="仿宋_GB2312"/>
          <w:kern w:val="2"/>
          <w:sz w:val="24"/>
          <w:szCs w:val="24"/>
        </w:rPr>
        <w:t>港</w:t>
      </w:r>
      <w:r>
        <w:rPr>
          <w:rFonts w:hint="eastAsia" w:ascii="仿宋_GB2312" w:eastAsia="仿宋_GB2312"/>
          <w:kern w:val="2"/>
          <w:sz w:val="24"/>
          <w:szCs w:val="24"/>
        </w:rPr>
        <w:t>有</w:t>
      </w:r>
      <w:r>
        <w:rPr>
          <w:rFonts w:ascii="仿宋_GB2312" w:eastAsia="仿宋_GB2312"/>
          <w:kern w:val="2"/>
          <w:sz w:val="24"/>
          <w:szCs w:val="24"/>
        </w:rPr>
        <w:t>5万吨</w:t>
      </w:r>
      <w:r>
        <w:rPr>
          <w:rFonts w:hint="eastAsia" w:ascii="仿宋_GB2312" w:eastAsia="仿宋_GB2312"/>
          <w:kern w:val="2"/>
          <w:sz w:val="24"/>
          <w:szCs w:val="24"/>
        </w:rPr>
        <w:t>的</w:t>
      </w:r>
      <w:r>
        <w:rPr>
          <w:rFonts w:ascii="仿宋_GB2312" w:eastAsia="仿宋_GB2312"/>
          <w:kern w:val="2"/>
          <w:sz w:val="24"/>
          <w:szCs w:val="24"/>
        </w:rPr>
        <w:t>货运码头</w:t>
      </w:r>
      <w:r>
        <w:rPr>
          <w:rFonts w:hint="eastAsia" w:ascii="仿宋_GB2312" w:eastAsia="仿宋_GB2312"/>
          <w:kern w:val="2"/>
          <w:sz w:val="24"/>
          <w:szCs w:val="24"/>
        </w:rPr>
        <w:t>，</w:t>
      </w:r>
      <w:r>
        <w:rPr>
          <w:rFonts w:ascii="仿宋_GB2312" w:eastAsia="仿宋_GB2312"/>
          <w:kern w:val="2"/>
          <w:sz w:val="24"/>
          <w:szCs w:val="24"/>
        </w:rPr>
        <w:t>以</w:t>
      </w:r>
      <w:r>
        <w:fldChar w:fldCharType="begin"/>
      </w:r>
      <w:r>
        <w:instrText xml:space="preserve"> HYPERLINK "http://baike.baidu.com/view/64932.htm" \t "_blank" </w:instrText>
      </w:r>
      <w:r>
        <w:fldChar w:fldCharType="separate"/>
      </w:r>
      <w:r>
        <w:rPr>
          <w:rFonts w:ascii="仿宋_GB2312" w:eastAsia="仿宋_GB2312"/>
          <w:kern w:val="2"/>
          <w:sz w:val="24"/>
          <w:szCs w:val="24"/>
        </w:rPr>
        <w:t>港口</w:t>
      </w:r>
      <w:r>
        <w:rPr>
          <w:rFonts w:ascii="仿宋_GB2312" w:eastAsia="仿宋_GB2312"/>
          <w:kern w:val="2"/>
          <w:sz w:val="24"/>
          <w:szCs w:val="24"/>
        </w:rPr>
        <w:fldChar w:fldCharType="end"/>
      </w:r>
      <w:r>
        <w:rPr>
          <w:rFonts w:ascii="仿宋_GB2312" w:eastAsia="仿宋_GB2312"/>
          <w:kern w:val="2"/>
          <w:sz w:val="24"/>
          <w:szCs w:val="24"/>
        </w:rPr>
        <w:t>为枢纽</w:t>
      </w:r>
      <w:r>
        <w:rPr>
          <w:rFonts w:hint="eastAsia" w:ascii="仿宋_GB2312" w:eastAsia="仿宋_GB2312"/>
          <w:kern w:val="2"/>
          <w:sz w:val="24"/>
          <w:szCs w:val="24"/>
        </w:rPr>
        <w:t>、</w:t>
      </w:r>
      <w:r>
        <w:rPr>
          <w:rFonts w:ascii="仿宋_GB2312" w:eastAsia="仿宋_GB2312"/>
          <w:kern w:val="2"/>
          <w:sz w:val="24"/>
          <w:szCs w:val="24"/>
        </w:rPr>
        <w:t>以</w:t>
      </w:r>
      <w:r>
        <w:fldChar w:fldCharType="begin"/>
      </w:r>
      <w:r>
        <w:instrText xml:space="preserve"> HYPERLINK "http://baike.baidu.com/view/4471291.htm" \t "_blank" </w:instrText>
      </w:r>
      <w:r>
        <w:fldChar w:fldCharType="separate"/>
      </w:r>
      <w:r>
        <w:rPr>
          <w:rFonts w:ascii="仿宋_GB2312" w:eastAsia="仿宋_GB2312"/>
          <w:kern w:val="2"/>
          <w:sz w:val="24"/>
          <w:szCs w:val="24"/>
        </w:rPr>
        <w:t>高等级公路</w:t>
      </w:r>
      <w:r>
        <w:rPr>
          <w:rFonts w:ascii="仿宋_GB2312" w:eastAsia="仿宋_GB2312"/>
          <w:kern w:val="2"/>
          <w:sz w:val="24"/>
          <w:szCs w:val="24"/>
        </w:rPr>
        <w:fldChar w:fldCharType="end"/>
      </w:r>
      <w:r>
        <w:rPr>
          <w:rFonts w:ascii="仿宋_GB2312" w:eastAsia="仿宋_GB2312"/>
          <w:kern w:val="2"/>
          <w:sz w:val="24"/>
          <w:szCs w:val="24"/>
        </w:rPr>
        <w:t>为主干、以县乡路为基础的综合</w:t>
      </w:r>
      <w:r>
        <w:fldChar w:fldCharType="begin"/>
      </w:r>
      <w:r>
        <w:instrText xml:space="preserve"> HYPERLINK "http://baike.baidu.com/view/539565.htm" \t "_blank" </w:instrText>
      </w:r>
      <w:r>
        <w:fldChar w:fldCharType="separate"/>
      </w:r>
      <w:r>
        <w:rPr>
          <w:rFonts w:ascii="仿宋_GB2312" w:eastAsia="仿宋_GB2312"/>
          <w:kern w:val="2"/>
          <w:sz w:val="24"/>
          <w:szCs w:val="24"/>
        </w:rPr>
        <w:t>交通运输</w:t>
      </w:r>
      <w:r>
        <w:rPr>
          <w:rFonts w:ascii="仿宋_GB2312" w:eastAsia="仿宋_GB2312"/>
          <w:kern w:val="2"/>
          <w:sz w:val="24"/>
          <w:szCs w:val="24"/>
        </w:rPr>
        <w:fldChar w:fldCharType="end"/>
      </w:r>
      <w:r>
        <w:rPr>
          <w:rFonts w:ascii="仿宋_GB2312" w:eastAsia="仿宋_GB2312"/>
          <w:kern w:val="2"/>
          <w:sz w:val="24"/>
          <w:szCs w:val="24"/>
        </w:rPr>
        <w:t>网络已经形成。</w:t>
      </w:r>
    </w:p>
    <w:p>
      <w:pPr>
        <w:snapToGrid w:val="0"/>
        <w:spacing w:line="360" w:lineRule="auto"/>
        <w:ind w:firstLine="560" w:firstLineChars="200"/>
        <w:outlineLvl w:val="2"/>
        <w:rPr>
          <w:rFonts w:ascii="仿宋_GB2312" w:hAnsi="华文细黑" w:eastAsia="仿宋_GB2312"/>
          <w:sz w:val="28"/>
          <w:szCs w:val="28"/>
        </w:rPr>
      </w:pPr>
      <w:bookmarkStart w:id="44" w:name="_Toc410289763"/>
      <w:bookmarkStart w:id="45" w:name="_Toc829"/>
      <w:r>
        <w:rPr>
          <w:rFonts w:hint="eastAsia" w:ascii="仿宋_GB2312" w:hAnsi="华文细黑" w:eastAsia="仿宋_GB2312"/>
          <w:sz w:val="28"/>
          <w:szCs w:val="28"/>
        </w:rPr>
        <w:t>2.3.2环境敏感</w:t>
      </w:r>
      <w:bookmarkEnd w:id="44"/>
      <w:r>
        <w:rPr>
          <w:rFonts w:hint="eastAsia" w:ascii="仿宋_GB2312" w:hAnsi="华文细黑" w:eastAsia="仿宋_GB2312"/>
          <w:sz w:val="28"/>
          <w:szCs w:val="28"/>
        </w:rPr>
        <w:t>目标</w:t>
      </w:r>
      <w:bookmarkEnd w:id="45"/>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cs="Times New Roman"/>
          <w:kern w:val="2"/>
          <w:sz w:val="24"/>
          <w:szCs w:val="24"/>
        </w:rPr>
        <w:t>本项目周围5000m范围内无自然保护区、森林公园、名胜古迹等重点保护对象存在，根据本项目废水、废气和噪声等污染物的排放情况，确定厂区周围村庄及居民点为主要环境敏感目标。</w:t>
      </w:r>
      <w:r>
        <w:rPr>
          <w:rFonts w:hint="eastAsia" w:ascii="仿宋_GB2312" w:hAnsi="华文细黑" w:eastAsia="仿宋_GB2312"/>
          <w:sz w:val="24"/>
          <w:szCs w:val="24"/>
        </w:rPr>
        <w:t>公司周围的主要环境敏感目标见表2-6，公司周边环境危险目标分布图见附件4。</w:t>
      </w:r>
    </w:p>
    <w:p>
      <w:pPr>
        <w:snapToGrid w:val="0"/>
        <w:spacing w:line="360" w:lineRule="auto"/>
        <w:jc w:val="center"/>
        <w:rPr>
          <w:rFonts w:ascii="仿宋_GB2312" w:hAnsi="华文细黑" w:eastAsia="仿宋_GB2312"/>
          <w:b/>
          <w:sz w:val="24"/>
          <w:szCs w:val="24"/>
        </w:rPr>
      </w:pPr>
      <w:r>
        <w:rPr>
          <w:rFonts w:hint="eastAsia" w:ascii="仿宋_GB2312" w:hAnsi="华文细黑" w:eastAsia="仿宋_GB2312"/>
          <w:b/>
          <w:sz w:val="24"/>
          <w:szCs w:val="24"/>
        </w:rPr>
        <w:br w:type="page"/>
      </w:r>
    </w:p>
    <w:p>
      <w:pPr>
        <w:snapToGrid w:val="0"/>
        <w:spacing w:line="360" w:lineRule="auto"/>
        <w:jc w:val="center"/>
        <w:rPr>
          <w:rFonts w:ascii="仿宋_GB2312" w:hAnsi="华文细黑" w:eastAsia="仿宋_GB2312"/>
          <w:b/>
          <w:sz w:val="24"/>
          <w:szCs w:val="24"/>
        </w:rPr>
      </w:pPr>
      <w:r>
        <w:rPr>
          <w:rFonts w:hint="eastAsia" w:ascii="仿宋_GB2312" w:hAnsi="华文细黑" w:eastAsia="仿宋_GB2312"/>
          <w:b/>
          <w:sz w:val="24"/>
          <w:szCs w:val="24"/>
        </w:rPr>
        <w:t>表2-6  环境敏感目标一览表</w:t>
      </w:r>
    </w:p>
    <w:tbl>
      <w:tblPr>
        <w:tblStyle w:val="26"/>
        <w:tblW w:w="83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9"/>
        <w:gridCol w:w="2634"/>
        <w:gridCol w:w="1328"/>
        <w:gridCol w:w="2364"/>
        <w:gridCol w:w="1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pStyle w:val="72"/>
              <w:spacing w:line="320" w:lineRule="exact"/>
              <w:rPr>
                <w:rFonts w:ascii="仿宋" w:hAnsi="仿宋" w:eastAsia="仿宋" w:cs="仿宋"/>
                <w:b/>
                <w:sz w:val="21"/>
                <w:szCs w:val="21"/>
              </w:rPr>
            </w:pPr>
            <w:r>
              <w:rPr>
                <w:rFonts w:hint="eastAsia" w:ascii="仿宋" w:hAnsi="仿宋" w:eastAsia="仿宋" w:cs="仿宋"/>
                <w:b/>
                <w:sz w:val="21"/>
                <w:szCs w:val="21"/>
              </w:rPr>
              <w:t>序号</w:t>
            </w:r>
          </w:p>
        </w:tc>
        <w:tc>
          <w:tcPr>
            <w:tcW w:w="2634" w:type="dxa"/>
            <w:vAlign w:val="center"/>
          </w:tcPr>
          <w:p>
            <w:pPr>
              <w:pStyle w:val="72"/>
              <w:spacing w:line="320" w:lineRule="exact"/>
              <w:rPr>
                <w:rFonts w:ascii="仿宋" w:hAnsi="仿宋" w:eastAsia="仿宋" w:cs="仿宋"/>
                <w:b/>
                <w:sz w:val="21"/>
                <w:szCs w:val="21"/>
              </w:rPr>
            </w:pPr>
            <w:r>
              <w:rPr>
                <w:rFonts w:hint="eastAsia" w:ascii="仿宋" w:hAnsi="仿宋" w:eastAsia="仿宋" w:cs="仿宋"/>
                <w:b/>
                <w:sz w:val="21"/>
                <w:szCs w:val="21"/>
              </w:rPr>
              <w:t>保护目标名称</w:t>
            </w:r>
          </w:p>
        </w:tc>
        <w:tc>
          <w:tcPr>
            <w:tcW w:w="1328" w:type="dxa"/>
            <w:vAlign w:val="center"/>
          </w:tcPr>
          <w:p>
            <w:pPr>
              <w:pStyle w:val="72"/>
              <w:spacing w:line="320" w:lineRule="exact"/>
              <w:rPr>
                <w:rFonts w:ascii="仿宋" w:hAnsi="仿宋" w:eastAsia="仿宋" w:cs="仿宋"/>
                <w:b/>
                <w:sz w:val="21"/>
                <w:szCs w:val="21"/>
              </w:rPr>
            </w:pPr>
            <w:r>
              <w:rPr>
                <w:rFonts w:hint="eastAsia" w:ascii="仿宋" w:hAnsi="仿宋" w:eastAsia="仿宋" w:cs="仿宋"/>
                <w:b/>
                <w:sz w:val="21"/>
                <w:szCs w:val="21"/>
              </w:rPr>
              <w:t>相对方位</w:t>
            </w:r>
          </w:p>
        </w:tc>
        <w:tc>
          <w:tcPr>
            <w:tcW w:w="2364" w:type="dxa"/>
            <w:vAlign w:val="center"/>
          </w:tcPr>
          <w:p>
            <w:pPr>
              <w:pStyle w:val="72"/>
              <w:spacing w:line="320" w:lineRule="exact"/>
              <w:rPr>
                <w:rFonts w:ascii="仿宋" w:hAnsi="仿宋" w:eastAsia="仿宋" w:cs="仿宋"/>
                <w:b/>
                <w:sz w:val="21"/>
                <w:szCs w:val="21"/>
              </w:rPr>
            </w:pPr>
            <w:r>
              <w:rPr>
                <w:rFonts w:hint="eastAsia" w:ascii="仿宋" w:hAnsi="仿宋" w:eastAsia="仿宋" w:cs="仿宋"/>
                <w:b/>
                <w:sz w:val="21"/>
                <w:szCs w:val="21"/>
              </w:rPr>
              <w:t>相对项目所在厂区的厂界距离（m）</w:t>
            </w:r>
          </w:p>
        </w:tc>
        <w:tc>
          <w:tcPr>
            <w:tcW w:w="1145" w:type="dxa"/>
            <w:vAlign w:val="center"/>
          </w:tcPr>
          <w:p>
            <w:pPr>
              <w:pStyle w:val="72"/>
              <w:spacing w:line="320" w:lineRule="exact"/>
              <w:rPr>
                <w:rFonts w:ascii="仿宋" w:hAnsi="仿宋" w:eastAsia="仿宋" w:cs="仿宋"/>
                <w:b/>
                <w:sz w:val="21"/>
                <w:szCs w:val="21"/>
              </w:rPr>
            </w:pPr>
            <w:r>
              <w:rPr>
                <w:rFonts w:hint="eastAsia" w:ascii="仿宋" w:hAnsi="仿宋" w:eastAsia="仿宋" w:cs="仿宋"/>
                <w:b/>
                <w:sz w:val="21"/>
                <w:szCs w:val="21"/>
              </w:rPr>
              <w:t>人口数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北沟三村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1500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922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聂家村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1250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试驾庄村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WN</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1498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北沟一村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1690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后营村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WN</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1733</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730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西正李家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1924</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7</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苏家沟</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2005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8</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北沟二村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2064</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830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9</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东尚家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2123</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10</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北沟镇</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2150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10560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小河口村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WWN</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2155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12</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西正高家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2178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13</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北沟医院</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2290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14</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北沟第一中学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2336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15</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唐家集</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2366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16</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辛家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2630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17</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红山马家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2636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280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18</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东台</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2719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1420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19</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唐格庄</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2757</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20</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西正楼下</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2815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西台</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2891</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22</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南王绪小学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2911</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23</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南王绪村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2940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24</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北王绪村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3025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2960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25</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大杨家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3059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712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26</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李程杨村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3122</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27</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西台小学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3645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28</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乐涛小学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3695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29</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北林院</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3739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960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30</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大姜家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3854</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760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后柞杨村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3878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32</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龙口市冶基学校</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3884</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33</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三十里店</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3958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1097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34</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冶基村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3978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35</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王会</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4088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2125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36</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河润村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4099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37</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小王庄</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4168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38</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北唐家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4202</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39</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诸由北村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4238</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40</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环峰幼儿园</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NE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4243</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南唐家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4321</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42</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孙陶村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4336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930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43</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鲁南沟</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4395</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234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44</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西吴家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4519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45</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庄头村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4536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46</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东河阳村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4567</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47</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诸由南村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4580</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48</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小姜家</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4646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49</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诸由中学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4653</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1564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50</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诸由小学</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4726</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51</w:t>
            </w:r>
          </w:p>
        </w:tc>
        <w:tc>
          <w:tcPr>
            <w:tcW w:w="263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舒赫村</w:t>
            </w:r>
          </w:p>
        </w:tc>
        <w:tc>
          <w:tcPr>
            <w:tcW w:w="1328"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ESE</w:t>
            </w:r>
          </w:p>
        </w:tc>
        <w:tc>
          <w:tcPr>
            <w:tcW w:w="2364" w:type="dxa"/>
            <w:vAlign w:val="center"/>
          </w:tcPr>
          <w:p>
            <w:pPr>
              <w:autoSpaceDN w:val="0"/>
              <w:jc w:val="center"/>
              <w:textAlignment w:val="center"/>
              <w:rPr>
                <w:rFonts w:ascii="仿宋" w:hAnsi="仿宋" w:eastAsia="仿宋" w:cs="仿宋"/>
                <w:kern w:val="2"/>
                <w:sz w:val="21"/>
                <w:szCs w:val="21"/>
              </w:rPr>
            </w:pPr>
            <w:r>
              <w:rPr>
                <w:rFonts w:hint="eastAsia" w:ascii="仿宋" w:hAnsi="仿宋" w:eastAsia="仿宋" w:cs="仿宋"/>
                <w:color w:val="000000"/>
                <w:kern w:val="2"/>
                <w:sz w:val="21"/>
                <w:szCs w:val="21"/>
              </w:rPr>
              <w:t>4749</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640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52</w:t>
            </w:r>
          </w:p>
        </w:tc>
        <w:tc>
          <w:tcPr>
            <w:tcW w:w="263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诸由观镇</w:t>
            </w:r>
          </w:p>
        </w:tc>
        <w:tc>
          <w:tcPr>
            <w:tcW w:w="1328"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4763</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5500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53</w:t>
            </w:r>
          </w:p>
        </w:tc>
        <w:tc>
          <w:tcPr>
            <w:tcW w:w="263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诸由中心卫生院</w:t>
            </w:r>
          </w:p>
        </w:tc>
        <w:tc>
          <w:tcPr>
            <w:tcW w:w="1328"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4862</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jc w:val="center"/>
        </w:trPr>
        <w:tc>
          <w:tcPr>
            <w:tcW w:w="889" w:type="dxa"/>
            <w:vAlign w:val="center"/>
          </w:tcPr>
          <w:p>
            <w:pPr>
              <w:spacing w:line="280" w:lineRule="exact"/>
              <w:jc w:val="center"/>
              <w:rPr>
                <w:rFonts w:ascii="仿宋" w:hAnsi="仿宋" w:eastAsia="仿宋" w:cs="仿宋"/>
                <w:kern w:val="2"/>
                <w:sz w:val="21"/>
                <w:szCs w:val="21"/>
              </w:rPr>
            </w:pPr>
            <w:r>
              <w:rPr>
                <w:rFonts w:hint="eastAsia" w:ascii="仿宋" w:hAnsi="仿宋" w:eastAsia="仿宋" w:cs="仿宋"/>
                <w:kern w:val="2"/>
                <w:sz w:val="21"/>
                <w:szCs w:val="21"/>
              </w:rPr>
              <w:t>54</w:t>
            </w:r>
          </w:p>
        </w:tc>
        <w:tc>
          <w:tcPr>
            <w:tcW w:w="263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诸由观镇中心幼儿园</w:t>
            </w:r>
          </w:p>
        </w:tc>
        <w:tc>
          <w:tcPr>
            <w:tcW w:w="1328"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SSW</w:t>
            </w:r>
          </w:p>
        </w:tc>
        <w:tc>
          <w:tcPr>
            <w:tcW w:w="2364"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4944</w:t>
            </w:r>
          </w:p>
        </w:tc>
        <w:tc>
          <w:tcPr>
            <w:tcW w:w="1145" w:type="dxa"/>
            <w:vAlign w:val="center"/>
          </w:tcPr>
          <w:p>
            <w:pPr>
              <w:autoSpaceDN w:val="0"/>
              <w:jc w:val="center"/>
              <w:textAlignment w:val="center"/>
              <w:rPr>
                <w:rFonts w:ascii="仿宋" w:hAnsi="仿宋" w:eastAsia="仿宋" w:cs="仿宋"/>
                <w:color w:val="000000"/>
                <w:kern w:val="2"/>
                <w:sz w:val="21"/>
                <w:szCs w:val="21"/>
              </w:rPr>
            </w:pPr>
            <w:r>
              <w:rPr>
                <w:rFonts w:hint="eastAsia" w:ascii="仿宋" w:hAnsi="仿宋" w:eastAsia="仿宋" w:cs="仿宋"/>
                <w:color w:val="000000"/>
                <w:kern w:val="2"/>
                <w:sz w:val="21"/>
                <w:szCs w:val="21"/>
              </w:rPr>
              <w:t>300</w:t>
            </w:r>
          </w:p>
        </w:tc>
      </w:tr>
    </w:tbl>
    <w:p>
      <w:pPr>
        <w:snapToGrid w:val="0"/>
        <w:spacing w:line="360" w:lineRule="auto"/>
        <w:jc w:val="center"/>
        <w:rPr>
          <w:rFonts w:ascii="仿宋_GB2312" w:hAnsi="华文细黑" w:eastAsia="仿宋_GB2312"/>
          <w:b/>
          <w:sz w:val="24"/>
          <w:szCs w:val="24"/>
        </w:rPr>
      </w:pPr>
    </w:p>
    <w:p>
      <w:pPr>
        <w:snapToGrid w:val="0"/>
        <w:spacing w:line="360" w:lineRule="auto"/>
        <w:jc w:val="center"/>
        <w:rPr>
          <w:rFonts w:ascii="仿宋_GB2312" w:hAnsi="华文细黑" w:eastAsia="仿宋_GB2312"/>
          <w:b/>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center"/>
        <w:textAlignment w:val="auto"/>
        <w:outlineLvl w:val="0"/>
        <w:rPr>
          <w:rFonts w:ascii="仿宋_GB2312" w:hAnsi="华文细黑" w:eastAsia="仿宋_GB2312"/>
          <w:b/>
          <w:sz w:val="28"/>
          <w:szCs w:val="28"/>
        </w:rPr>
      </w:pPr>
      <w:bookmarkStart w:id="46" w:name="_Toc224965870"/>
      <w:bookmarkStart w:id="47" w:name="_Toc225244053"/>
      <w:bookmarkStart w:id="48" w:name="_Toc410289764"/>
      <w:r>
        <w:rPr>
          <w:rFonts w:ascii="仿宋_GB2312" w:hAnsi="华文细黑" w:eastAsia="仿宋_GB2312"/>
          <w:b/>
          <w:sz w:val="32"/>
          <w:szCs w:val="32"/>
        </w:rPr>
        <w:br w:type="page"/>
      </w:r>
      <w:bookmarkStart w:id="49" w:name="_Toc11516"/>
      <w:r>
        <w:rPr>
          <w:rFonts w:hint="eastAsia" w:ascii="仿宋_GB2312" w:hAnsi="华文细黑" w:eastAsia="仿宋_GB2312"/>
          <w:b/>
          <w:sz w:val="32"/>
          <w:szCs w:val="32"/>
        </w:rPr>
        <w:t>3 环境风险源与环境风险</w:t>
      </w:r>
      <w:bookmarkEnd w:id="46"/>
      <w:bookmarkEnd w:id="47"/>
      <w:bookmarkEnd w:id="48"/>
      <w:r>
        <w:rPr>
          <w:rFonts w:hint="eastAsia" w:ascii="仿宋_GB2312" w:hAnsi="华文细黑" w:eastAsia="仿宋_GB2312"/>
          <w:b/>
          <w:sz w:val="32"/>
          <w:szCs w:val="32"/>
        </w:rPr>
        <w:t>分析</w:t>
      </w:r>
      <w:bookmarkEnd w:id="49"/>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1"/>
        <w:rPr>
          <w:rFonts w:ascii="仿宋_GB2312" w:hAnsi="华文细黑" w:eastAsia="仿宋_GB2312"/>
          <w:sz w:val="28"/>
          <w:szCs w:val="28"/>
        </w:rPr>
      </w:pPr>
      <w:bookmarkStart w:id="50" w:name="_Toc28651"/>
      <w:bookmarkStart w:id="51" w:name="_Toc410289765"/>
      <w:r>
        <w:rPr>
          <w:rFonts w:hint="eastAsia" w:ascii="仿宋_GB2312" w:hAnsi="华文细黑" w:eastAsia="仿宋_GB2312"/>
          <w:sz w:val="28"/>
          <w:szCs w:val="28"/>
        </w:rPr>
        <w:t>3.1环境风险源的识别</w:t>
      </w:r>
      <w:bookmarkEnd w:id="50"/>
      <w:bookmarkEnd w:id="51"/>
    </w:p>
    <w:p>
      <w:pPr>
        <w:pStyle w:val="13"/>
        <w:keepNext w:val="0"/>
        <w:keepLines w:val="0"/>
        <w:pageBreakBefore w:val="0"/>
        <w:widowControl w:val="0"/>
        <w:kinsoku/>
        <w:wordWrap/>
        <w:overflowPunct/>
        <w:topLinePunct w:val="0"/>
        <w:autoSpaceDE/>
        <w:autoSpaceDN/>
        <w:bidi w:val="0"/>
        <w:adjustRightInd/>
        <w:snapToGrid w:val="0"/>
        <w:spacing w:after="0" w:line="360" w:lineRule="auto"/>
        <w:ind w:left="0" w:leftChars="0" w:right="0" w:rightChars="0" w:firstLine="480" w:firstLineChars="200"/>
        <w:textAlignment w:val="auto"/>
        <w:rPr>
          <w:rFonts w:ascii="仿宋_GB2312" w:eastAsia="仿宋_GB2312"/>
          <w:kern w:val="2"/>
          <w:sz w:val="24"/>
          <w:szCs w:val="24"/>
        </w:rPr>
      </w:pPr>
      <w:bookmarkStart w:id="52" w:name="_Toc410289767"/>
      <w:r>
        <w:rPr>
          <w:rFonts w:ascii="仿宋_GB2312" w:eastAsia="仿宋_GB2312"/>
          <w:kern w:val="2"/>
          <w:sz w:val="24"/>
          <w:szCs w:val="24"/>
        </w:rPr>
        <w:t>风险识别范围包括生产设施风险识别和生产过程所涉及的物质风险识别。</w:t>
      </w:r>
    </w:p>
    <w:p>
      <w:pPr>
        <w:pStyle w:val="13"/>
        <w:keepNext w:val="0"/>
        <w:keepLines w:val="0"/>
        <w:pageBreakBefore w:val="0"/>
        <w:widowControl w:val="0"/>
        <w:kinsoku/>
        <w:wordWrap/>
        <w:overflowPunct/>
        <w:topLinePunct w:val="0"/>
        <w:autoSpaceDE/>
        <w:autoSpaceDN/>
        <w:bidi w:val="0"/>
        <w:adjustRightInd/>
        <w:snapToGrid w:val="0"/>
        <w:spacing w:after="0" w:line="360" w:lineRule="auto"/>
        <w:ind w:left="0" w:leftChars="0" w:right="0" w:rightChars="0" w:firstLine="480" w:firstLineChars="200"/>
        <w:textAlignment w:val="auto"/>
        <w:rPr>
          <w:rFonts w:ascii="仿宋_GB2312" w:eastAsia="仿宋_GB2312"/>
          <w:kern w:val="2"/>
          <w:sz w:val="24"/>
          <w:szCs w:val="24"/>
        </w:rPr>
      </w:pPr>
      <w:r>
        <w:rPr>
          <w:rFonts w:ascii="仿宋_GB2312" w:eastAsia="仿宋_GB2312"/>
          <w:kern w:val="2"/>
          <w:sz w:val="24"/>
          <w:szCs w:val="24"/>
        </w:rPr>
        <w:t>物质风险识别范围：主要原材料及辅助材料、中间产品、最终产品以及生产过程排放的</w:t>
      </w:r>
      <w:r>
        <w:rPr>
          <w:rFonts w:hint="eastAsia" w:ascii="仿宋_GB2312" w:eastAsia="仿宋_GB2312"/>
          <w:kern w:val="2"/>
          <w:sz w:val="24"/>
          <w:szCs w:val="24"/>
        </w:rPr>
        <w:t>“</w:t>
      </w:r>
      <w:r>
        <w:rPr>
          <w:rFonts w:ascii="仿宋_GB2312" w:eastAsia="仿宋_GB2312"/>
          <w:kern w:val="2"/>
          <w:sz w:val="24"/>
          <w:szCs w:val="24"/>
        </w:rPr>
        <w:t>三废</w:t>
      </w:r>
      <w:r>
        <w:rPr>
          <w:rFonts w:hint="eastAsia" w:ascii="仿宋_GB2312" w:eastAsia="仿宋_GB2312"/>
          <w:kern w:val="2"/>
          <w:sz w:val="24"/>
          <w:szCs w:val="24"/>
        </w:rPr>
        <w:t>”</w:t>
      </w:r>
      <w:r>
        <w:rPr>
          <w:rFonts w:ascii="仿宋_GB2312" w:eastAsia="仿宋_GB2312"/>
          <w:kern w:val="2"/>
          <w:sz w:val="24"/>
          <w:szCs w:val="24"/>
        </w:rPr>
        <w:t>污染物等。</w:t>
      </w:r>
    </w:p>
    <w:p>
      <w:pPr>
        <w:snapToGrid w:val="0"/>
        <w:spacing w:line="360" w:lineRule="auto"/>
        <w:ind w:firstLine="480"/>
        <w:rPr>
          <w:rFonts w:ascii="仿宋_GB2312" w:eastAsia="仿宋_GB2312"/>
          <w:kern w:val="2"/>
          <w:sz w:val="24"/>
          <w:szCs w:val="24"/>
        </w:rPr>
      </w:pPr>
      <w:r>
        <w:rPr>
          <w:rFonts w:ascii="仿宋_GB2312" w:eastAsia="仿宋_GB2312"/>
          <w:kern w:val="2"/>
          <w:sz w:val="24"/>
          <w:szCs w:val="24"/>
        </w:rPr>
        <w:t>生产设施风险识别范围：主要生产装置、贮运系统、公用工程系统、工程环保设施及辅助生产设施等；</w:t>
      </w:r>
    </w:p>
    <w:p>
      <w:pPr>
        <w:snapToGrid w:val="0"/>
        <w:spacing w:line="360" w:lineRule="auto"/>
        <w:ind w:firstLine="480"/>
        <w:rPr>
          <w:rFonts w:ascii="仿宋_GB2312" w:eastAsia="仿宋_GB2312"/>
          <w:kern w:val="2"/>
          <w:sz w:val="24"/>
          <w:szCs w:val="24"/>
        </w:rPr>
      </w:pPr>
      <w:r>
        <w:rPr>
          <w:rFonts w:hint="eastAsia" w:ascii="仿宋_GB2312" w:eastAsia="仿宋_GB2312"/>
          <w:kern w:val="2"/>
          <w:sz w:val="24"/>
          <w:szCs w:val="24"/>
        </w:rPr>
        <w:t>根据《危险化学品名录》（2015版）的规定，公司生产过程中所涉及的危险物质品主要是：二聚环戊二烯、二氯乙酰氯、正己烷、三乙胺、液碱、二氯甲烷、盐酸（31%）、液氯、N-乙基苯胺、环己烷、氢气、2，6-二氯苯酚、硝酸、乙醇、浓硫酸、氯乙酸、二氯乙烷；</w:t>
      </w:r>
    </w:p>
    <w:p>
      <w:pPr>
        <w:snapToGrid w:val="0"/>
        <w:spacing w:line="360" w:lineRule="auto"/>
        <w:ind w:firstLine="480" w:firstLineChars="200"/>
        <w:rPr>
          <w:rFonts w:ascii="仿宋_GB2312" w:eastAsia="仿宋_GB2312"/>
          <w:kern w:val="2"/>
          <w:sz w:val="24"/>
          <w:szCs w:val="24"/>
        </w:rPr>
      </w:pPr>
      <w:r>
        <w:rPr>
          <w:rFonts w:hint="eastAsia" w:ascii="仿宋_GB2312" w:eastAsia="仿宋_GB2312"/>
          <w:kern w:val="2"/>
          <w:sz w:val="24"/>
          <w:szCs w:val="24"/>
        </w:rPr>
        <w:t>项目涉及危险因素的环保设施主要有：污水处理站、废气处理装置和危险废物暂存场所。</w:t>
      </w:r>
    </w:p>
    <w:p>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根据本项目实际情况，确定以下场所为环境危险源：</w:t>
      </w:r>
    </w:p>
    <w:p>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（1）生产使车间、甲类罐区、中间罐区、危化品仓库</w:t>
      </w:r>
    </w:p>
    <w:p>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（2）污水处理站、废气处理设施</w:t>
      </w:r>
    </w:p>
    <w:p>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（3）危险废物暂存场所</w:t>
      </w:r>
    </w:p>
    <w:p>
      <w:pPr>
        <w:snapToGrid w:val="0"/>
        <w:spacing w:line="360" w:lineRule="auto"/>
        <w:ind w:firstLine="480"/>
        <w:rPr>
          <w:rFonts w:ascii="仿宋_GB2312" w:eastAsia="仿宋_GB2312"/>
          <w:sz w:val="24"/>
          <w:szCs w:val="24"/>
        </w:rPr>
      </w:pPr>
      <w:r>
        <w:rPr>
          <w:rFonts w:hint="eastAsia" w:ascii="仿宋_GB2312" w:eastAsia="仿宋_GB2312"/>
          <w:kern w:val="2"/>
          <w:sz w:val="24"/>
          <w:szCs w:val="24"/>
        </w:rPr>
        <w:t>根据危化品的性质及本项目污染物的排放情况，确定本项目的</w:t>
      </w:r>
      <w:r>
        <w:rPr>
          <w:rFonts w:ascii="仿宋_GB2312" w:eastAsia="仿宋_GB2312"/>
          <w:kern w:val="2"/>
          <w:sz w:val="24"/>
          <w:szCs w:val="24"/>
        </w:rPr>
        <w:t>危险因素主要是</w:t>
      </w:r>
      <w:r>
        <w:rPr>
          <w:rFonts w:hint="eastAsia" w:ascii="仿宋_GB2312" w:eastAsia="仿宋_GB2312"/>
          <w:kern w:val="2"/>
          <w:sz w:val="24"/>
          <w:szCs w:val="24"/>
        </w:rPr>
        <w:t>危化品泄漏；</w:t>
      </w:r>
      <w:r>
        <w:rPr>
          <w:rFonts w:ascii="仿宋_GB2312" w:eastAsia="仿宋_GB2312"/>
          <w:kern w:val="2"/>
          <w:sz w:val="24"/>
          <w:szCs w:val="24"/>
        </w:rPr>
        <w:t>火灾、爆炸</w:t>
      </w:r>
      <w:r>
        <w:rPr>
          <w:rFonts w:hint="eastAsia" w:ascii="仿宋_GB2312" w:eastAsia="仿宋_GB2312"/>
          <w:kern w:val="2"/>
          <w:sz w:val="24"/>
          <w:szCs w:val="24"/>
        </w:rPr>
        <w:t>；腐蚀、中毒、窒息及环保设施故障导致污染物超标</w:t>
      </w:r>
      <w:r>
        <w:rPr>
          <w:rFonts w:ascii="仿宋_GB2312" w:eastAsia="仿宋_GB2312"/>
          <w:kern w:val="2"/>
          <w:sz w:val="24"/>
          <w:szCs w:val="24"/>
        </w:rPr>
        <w:t>等。</w:t>
      </w:r>
      <w:r>
        <w:rPr>
          <w:rFonts w:hint="eastAsia" w:ascii="仿宋_GB2312" w:eastAsia="仿宋_GB2312"/>
          <w:kern w:val="2"/>
          <w:sz w:val="24"/>
          <w:szCs w:val="24"/>
        </w:rPr>
        <w:t>公司危险化学品储存情况见表3-1。</w:t>
      </w:r>
      <w:r>
        <w:rPr>
          <w:rFonts w:hint="eastAsia" w:ascii="仿宋" w:hAnsi="仿宋" w:eastAsia="仿宋"/>
          <w:kern w:val="11"/>
          <w:sz w:val="24"/>
          <w:szCs w:val="24"/>
        </w:rPr>
        <w:t>主要风险源分布图见附图5。</w:t>
      </w:r>
    </w:p>
    <w:bookmarkEnd w:id="52"/>
    <w:p>
      <w:pPr>
        <w:snapToGrid w:val="0"/>
        <w:spacing w:line="360" w:lineRule="auto"/>
        <w:ind w:firstLine="482" w:firstLineChars="200"/>
        <w:jc w:val="center"/>
        <w:rPr>
          <w:rFonts w:ascii="仿宋_GB2312" w:hAnsi="华文细黑" w:eastAsia="仿宋_GB2312"/>
          <w:b/>
          <w:sz w:val="24"/>
          <w:szCs w:val="24"/>
        </w:rPr>
      </w:pPr>
      <w:r>
        <w:rPr>
          <w:rFonts w:hint="eastAsia" w:ascii="仿宋_GB2312" w:hAnsi="华文细黑" w:eastAsia="仿宋_GB2312"/>
          <w:b/>
          <w:sz w:val="24"/>
          <w:szCs w:val="24"/>
        </w:rPr>
        <w:t>表3-1危险化学品储存量及临界量一览表</w:t>
      </w:r>
    </w:p>
    <w:tbl>
      <w:tblPr>
        <w:tblStyle w:val="26"/>
        <w:tblW w:w="8741" w:type="dxa"/>
        <w:jc w:val="center"/>
        <w:tblInd w:w="1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166"/>
        <w:gridCol w:w="1553"/>
        <w:gridCol w:w="1093"/>
        <w:gridCol w:w="864"/>
        <w:gridCol w:w="1378"/>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序号</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名称</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kern w:val="2"/>
                <w:sz w:val="21"/>
                <w:szCs w:val="21"/>
              </w:rPr>
              <w:t>危险性</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最大储量</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临界量</w:t>
            </w:r>
          </w:p>
        </w:tc>
        <w:tc>
          <w:tcPr>
            <w:tcW w:w="1378"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位置</w:t>
            </w:r>
          </w:p>
        </w:tc>
        <w:tc>
          <w:tcPr>
            <w:tcW w:w="982"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kern w:val="2"/>
                <w:sz w:val="21"/>
                <w:szCs w:val="21"/>
              </w:rPr>
              <w:t>二聚环戊二烯</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5000t</w:t>
            </w:r>
          </w:p>
        </w:tc>
        <w:tc>
          <w:tcPr>
            <w:tcW w:w="137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kern w:val="2"/>
                <w:sz w:val="21"/>
                <w:szCs w:val="21"/>
              </w:rPr>
              <w:t>危化品仓库</w:t>
            </w:r>
          </w:p>
        </w:tc>
        <w:tc>
          <w:tcPr>
            <w:tcW w:w="98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0.0192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二氯乙酰氯</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3</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正己烷（99.5%）</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8.5t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500t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4</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三乙胺（98.5%）</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5</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片碱（99%）</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 xml:space="preserve"> 碱性腐蚀品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6</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二氯甲烷</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毒害品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12.5t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highlight w:val="yellow"/>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7</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N-乙基苯胺</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8</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环己烷</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5000t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9</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2，6-二氯苯酚（98%）</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有害品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highlight w:val="yellow"/>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氯乙酸（97%）</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snapToGrid w:val="0"/>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11</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液碱溶液（32%）</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碱性腐蚀品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90t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kern w:val="2"/>
                <w:sz w:val="21"/>
                <w:szCs w:val="21"/>
              </w:rPr>
              <w:t>甲类罐区</w:t>
            </w:r>
          </w:p>
        </w:tc>
        <w:tc>
          <w:tcPr>
            <w:tcW w:w="98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0.718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12</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盐酸（31%）</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42t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13</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硝酸（98%）</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30t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14</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乙醇（95%）</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16.5</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500t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15</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浓硫酸（98%）</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75t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200t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16</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二氯乙烷（99.5%）</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易燃液体</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1000t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17</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液碱溶液（32%）</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碱性腐蚀品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150t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kern w:val="2"/>
                <w:sz w:val="21"/>
                <w:szCs w:val="21"/>
              </w:rPr>
              <w:t>中间罐区</w:t>
            </w:r>
          </w:p>
        </w:tc>
        <w:tc>
          <w:tcPr>
            <w:tcW w:w="98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18</w:t>
            </w:r>
          </w:p>
        </w:tc>
        <w:tc>
          <w:tcPr>
            <w:tcW w:w="2166"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盐酸（31%）</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kern w:val="2"/>
                <w:sz w:val="21"/>
                <w:szCs w:val="21"/>
              </w:rPr>
            </w:pPr>
            <w:r>
              <w:rPr>
                <w:rFonts w:hint="eastAsia" w:ascii="仿宋" w:hAnsi="仿宋" w:eastAsia="仿宋" w:cs="仿宋"/>
                <w:kern w:val="2"/>
                <w:sz w:val="21"/>
                <w:szCs w:val="21"/>
              </w:rPr>
              <w:t>酸性腐蚀品</w:t>
            </w:r>
          </w:p>
        </w:tc>
        <w:tc>
          <w:tcPr>
            <w:tcW w:w="109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84t</w:t>
            </w:r>
          </w:p>
        </w:tc>
        <w:tc>
          <w:tcPr>
            <w:tcW w:w="86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r>
              <w:rPr>
                <w:rFonts w:hint="eastAsia" w:ascii="仿宋" w:hAnsi="仿宋" w:eastAsia="仿宋" w:cs="仿宋"/>
                <w:bCs/>
                <w:kern w:val="2"/>
                <w:sz w:val="21"/>
                <w:szCs w:val="21"/>
              </w:rPr>
              <w:t>/</w:t>
            </w:r>
          </w:p>
        </w:tc>
        <w:tc>
          <w:tcPr>
            <w:tcW w:w="137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c>
          <w:tcPr>
            <w:tcW w:w="98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outlineLvl w:val="9"/>
              <w:rPr>
                <w:rFonts w:ascii="仿宋" w:hAnsi="仿宋" w:eastAsia="仿宋" w:cs="仿宋"/>
                <w:bCs/>
                <w:kern w:val="2"/>
                <w:sz w:val="21"/>
                <w:szCs w:val="21"/>
              </w:rPr>
            </w:pPr>
          </w:p>
        </w:tc>
      </w:tr>
    </w:tbl>
    <w:p>
      <w:pPr>
        <w:keepNext w:val="0"/>
        <w:keepLines w:val="0"/>
        <w:pageBreakBefore w:val="0"/>
        <w:widowControl w:val="0"/>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ascii="仿宋_GB2312" w:hAnsi="华文细黑" w:eastAsia="仿宋_GB2312"/>
          <w:sz w:val="24"/>
          <w:szCs w:val="24"/>
        </w:rPr>
      </w:pPr>
      <w:r>
        <w:rPr>
          <w:rFonts w:hint="eastAsia" w:ascii="仿宋_GB2312" w:hAnsi="华文细黑" w:eastAsia="仿宋_GB2312"/>
          <w:sz w:val="24"/>
          <w:szCs w:val="24"/>
        </w:rPr>
        <w:t>根据《危险化学品重大危险源辨识》（</w:t>
      </w:r>
      <w:r>
        <w:rPr>
          <w:rFonts w:ascii="仿宋_GB2312" w:hAnsi="华文细黑" w:eastAsia="仿宋_GB2312"/>
          <w:sz w:val="24"/>
          <w:szCs w:val="24"/>
        </w:rPr>
        <w:t>GB18218-2009</w:t>
      </w:r>
      <w:r>
        <w:rPr>
          <w:rFonts w:hint="eastAsia" w:ascii="仿宋_GB2312" w:hAnsi="华文细黑" w:eastAsia="仿宋_GB2312"/>
          <w:sz w:val="24"/>
          <w:szCs w:val="24"/>
        </w:rPr>
        <w:t>）中的规定，单元内存在的危险化学品为多品种时，则按下式进行计算，若满足公式，则定义为重大危险源。</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ascii="仿宋_GB2312" w:hAnsi="仿宋_GB2312" w:eastAsia="仿宋_GB2312" w:cs="仿宋_GB2312"/>
          <w:sz w:val="24"/>
          <w:szCs w:val="24"/>
        </w:rPr>
      </w:pPr>
      <w:r>
        <w:rPr>
          <w:rFonts w:hint="eastAsia" w:ascii="仿宋_GB2312" w:hAnsi="华文细黑" w:eastAsia="仿宋_GB2312"/>
          <w:sz w:val="24"/>
          <w:szCs w:val="24"/>
        </w:rPr>
        <w:t>q1/Q1+q2/Q2+</w:t>
      </w:r>
      <w:r>
        <w:rPr>
          <w:rFonts w:hint="eastAsia" w:ascii="微软雅黑" w:hAnsi="微软雅黑" w:eastAsia="微软雅黑" w:cs="微软雅黑"/>
          <w:sz w:val="24"/>
          <w:szCs w:val="24"/>
        </w:rPr>
        <w:t>∙∙∙∙∙∙∙</w:t>
      </w:r>
      <w:r>
        <w:rPr>
          <w:rFonts w:hint="eastAsia" w:ascii="仿宋_GB2312" w:hAnsi="华文细黑" w:eastAsia="仿宋_GB2312"/>
          <w:sz w:val="24"/>
          <w:szCs w:val="24"/>
        </w:rPr>
        <w:t>+qn/Qn</w:t>
      </w:r>
      <w:r>
        <w:rPr>
          <w:rFonts w:eastAsia="仿宋_GB2312"/>
          <w:sz w:val="24"/>
          <w:szCs w:val="24"/>
        </w:rPr>
        <w:t>≥</w:t>
      </w:r>
      <w:r>
        <w:rPr>
          <w:rFonts w:hint="eastAsia" w:ascii="仿宋_GB2312" w:hAnsi="仿宋_GB2312" w:eastAsia="仿宋_GB2312" w:cs="仿宋_GB2312"/>
          <w:sz w:val="24"/>
          <w:szCs w:val="24"/>
        </w:rPr>
        <w:t>1</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480"/>
        <w:jc w:val="both"/>
        <w:textAlignment w:val="auto"/>
        <w:outlineLvl w:val="9"/>
        <w:rPr>
          <w:rFonts w:ascii="仿宋_GB2312" w:hAnsi="华文细黑" w:eastAsia="仿宋_GB2312"/>
          <w:sz w:val="24"/>
          <w:szCs w:val="24"/>
        </w:rPr>
      </w:pPr>
      <w:r>
        <w:rPr>
          <w:rFonts w:hint="eastAsia" w:ascii="仿宋_GB2312" w:hAnsi="华文细黑" w:eastAsia="仿宋_GB2312"/>
          <w:sz w:val="24"/>
          <w:szCs w:val="24"/>
        </w:rPr>
        <w:t>式中：q1，q2，</w:t>
      </w:r>
      <w:r>
        <w:rPr>
          <w:rFonts w:hint="eastAsia" w:ascii="微软雅黑" w:hAnsi="微软雅黑" w:eastAsia="微软雅黑" w:cs="微软雅黑"/>
          <w:sz w:val="24"/>
          <w:szCs w:val="24"/>
        </w:rPr>
        <w:t>∙∙∙，</w:t>
      </w:r>
      <w:r>
        <w:rPr>
          <w:rFonts w:hint="eastAsia" w:ascii="仿宋_GB2312" w:hAnsi="华文细黑" w:eastAsia="仿宋_GB2312"/>
          <w:sz w:val="24"/>
          <w:szCs w:val="24"/>
        </w:rPr>
        <w:t>qn---每种危险化学品实际存在量，单位为吨（t）;</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1116" w:firstLineChars="465"/>
        <w:jc w:val="both"/>
        <w:textAlignment w:val="auto"/>
        <w:outlineLvl w:val="9"/>
        <w:rPr>
          <w:rFonts w:ascii="仿宋_GB2312" w:hAnsi="华文细黑" w:eastAsia="仿宋_GB2312"/>
          <w:sz w:val="24"/>
          <w:szCs w:val="24"/>
        </w:rPr>
      </w:pPr>
      <w:r>
        <w:rPr>
          <w:rFonts w:hint="eastAsia" w:ascii="仿宋_GB2312" w:hAnsi="华文细黑" w:eastAsia="仿宋_GB2312"/>
          <w:sz w:val="24"/>
          <w:szCs w:val="24"/>
        </w:rPr>
        <w:t>Q1，Q2，</w:t>
      </w:r>
      <w:r>
        <w:rPr>
          <w:rFonts w:hint="eastAsia" w:ascii="微软雅黑" w:hAnsi="微软雅黑" w:eastAsia="微软雅黑" w:cs="微软雅黑"/>
          <w:sz w:val="24"/>
          <w:szCs w:val="24"/>
        </w:rPr>
        <w:t>∙∙∙，</w:t>
      </w:r>
      <w:r>
        <w:rPr>
          <w:rFonts w:hint="eastAsia" w:ascii="仿宋_GB2312" w:hAnsi="华文细黑" w:eastAsia="仿宋_GB2312"/>
          <w:sz w:val="24"/>
          <w:szCs w:val="24"/>
        </w:rPr>
        <w:t>Qn---与各危险化学品相对应的临界量，单位为吨（t）。</w:t>
      </w:r>
    </w:p>
    <w:p>
      <w:pPr>
        <w:keepNext w:val="0"/>
        <w:keepLines w:val="0"/>
        <w:pageBreakBefore w:val="0"/>
        <w:widowControl w:val="0"/>
        <w:kinsoku/>
        <w:wordWrap/>
        <w:overflowPunct/>
        <w:topLinePunct w:val="0"/>
        <w:autoSpaceDE/>
        <w:autoSpaceDN/>
        <w:bidi w:val="0"/>
        <w:adjustRightInd/>
        <w:snapToGrid w:val="0"/>
        <w:spacing w:line="360" w:lineRule="auto"/>
        <w:ind w:left="360" w:leftChars="200" w:right="0" w:rightChars="0"/>
        <w:jc w:val="both"/>
        <w:textAlignment w:val="auto"/>
        <w:outlineLvl w:val="9"/>
        <w:rPr>
          <w:rFonts w:ascii="仿宋_GB2312" w:hAnsi="华文细黑" w:eastAsia="仿宋_GB2312"/>
          <w:sz w:val="24"/>
          <w:szCs w:val="24"/>
        </w:rPr>
      </w:pPr>
      <w:r>
        <w:rPr>
          <w:rFonts w:hint="eastAsia" w:ascii="仿宋" w:hAnsi="仿宋" w:eastAsia="仿宋" w:cs="仿宋"/>
          <w:sz w:val="24"/>
          <w:szCs w:val="24"/>
        </w:rPr>
        <w:t>计算结果显示：本公司不存在重大危险源。</w:t>
      </w:r>
    </w:p>
    <w:p>
      <w:pPr>
        <w:snapToGrid w:val="0"/>
        <w:spacing w:line="360" w:lineRule="auto"/>
        <w:ind w:firstLine="560" w:firstLineChars="200"/>
        <w:outlineLvl w:val="1"/>
        <w:rPr>
          <w:rFonts w:ascii="仿宋_GB2312" w:hAnsi="华文细黑" w:eastAsia="仿宋_GB2312"/>
          <w:sz w:val="28"/>
          <w:szCs w:val="28"/>
        </w:rPr>
      </w:pPr>
      <w:bookmarkStart w:id="53" w:name="_Toc410289768"/>
      <w:bookmarkStart w:id="54" w:name="_Toc8459"/>
      <w:r>
        <w:rPr>
          <w:rFonts w:hint="eastAsia" w:ascii="仿宋_GB2312" w:hAnsi="华文细黑" w:eastAsia="仿宋_GB2312"/>
          <w:sz w:val="28"/>
          <w:szCs w:val="28"/>
        </w:rPr>
        <w:t>3.2环境风险</w:t>
      </w:r>
      <w:bookmarkEnd w:id="53"/>
      <w:r>
        <w:rPr>
          <w:rFonts w:hint="eastAsia" w:ascii="仿宋_GB2312" w:hAnsi="华文细黑" w:eastAsia="仿宋_GB2312"/>
          <w:sz w:val="28"/>
          <w:szCs w:val="28"/>
        </w:rPr>
        <w:t>分析</w:t>
      </w:r>
      <w:bookmarkEnd w:id="54"/>
    </w:p>
    <w:p>
      <w:pPr>
        <w:pStyle w:val="38"/>
        <w:snapToGrid w:val="0"/>
        <w:spacing w:beforeLines="0" w:afterLines="0" w:line="360" w:lineRule="auto"/>
        <w:ind w:firstLine="512"/>
        <w:rPr>
          <w:rFonts w:ascii="仿宋_GB2312" w:hAnsi="Times New Roman" w:eastAsia="仿宋_GB2312"/>
          <w:sz w:val="28"/>
          <w:lang w:val="zh-CN"/>
        </w:rPr>
      </w:pPr>
      <w:r>
        <w:rPr>
          <w:rFonts w:hint="eastAsia" w:ascii="仿宋_GB2312" w:hAnsi="Times New Roman" w:eastAsia="仿宋_GB2312"/>
          <w:szCs w:val="24"/>
        </w:rPr>
        <w:t>本项目存在的危险因素主要是</w:t>
      </w:r>
      <w:r>
        <w:rPr>
          <w:rFonts w:hint="eastAsia" w:ascii="仿宋_GB2312" w:eastAsia="仿宋_GB2312"/>
          <w:szCs w:val="24"/>
        </w:rPr>
        <w:t>危化品泄漏；</w:t>
      </w:r>
      <w:r>
        <w:rPr>
          <w:rFonts w:ascii="仿宋_GB2312" w:eastAsia="仿宋_GB2312"/>
          <w:szCs w:val="24"/>
        </w:rPr>
        <w:t>火灾、爆炸</w:t>
      </w:r>
      <w:r>
        <w:rPr>
          <w:rFonts w:hint="eastAsia" w:ascii="仿宋_GB2312" w:eastAsia="仿宋_GB2312"/>
          <w:szCs w:val="24"/>
        </w:rPr>
        <w:t>；腐蚀、中毒、窒息</w:t>
      </w:r>
      <w:r>
        <w:rPr>
          <w:rFonts w:hint="eastAsia" w:ascii="仿宋_GB2312" w:eastAsia="仿宋_GB2312"/>
          <w:kern w:val="2"/>
          <w:szCs w:val="24"/>
        </w:rPr>
        <w:t>及环保设施故障导致污染物超标</w:t>
      </w:r>
      <w:r>
        <w:rPr>
          <w:rFonts w:ascii="仿宋_GB2312" w:eastAsia="仿宋_GB2312"/>
          <w:kern w:val="2"/>
          <w:szCs w:val="24"/>
        </w:rPr>
        <w:t>等</w:t>
      </w:r>
      <w:r>
        <w:rPr>
          <w:rFonts w:ascii="仿宋_GB2312" w:eastAsia="仿宋_GB2312"/>
          <w:szCs w:val="24"/>
        </w:rPr>
        <w:t>。</w:t>
      </w:r>
    </w:p>
    <w:p>
      <w:pPr>
        <w:snapToGrid w:val="0"/>
        <w:spacing w:line="360" w:lineRule="auto"/>
        <w:ind w:firstLine="560" w:firstLineChars="200"/>
        <w:outlineLvl w:val="2"/>
        <w:rPr>
          <w:rFonts w:ascii="仿宋_GB2312" w:hAnsi="华文细黑" w:eastAsia="仿宋_GB2312"/>
          <w:sz w:val="28"/>
          <w:szCs w:val="28"/>
        </w:rPr>
      </w:pPr>
      <w:bookmarkStart w:id="55" w:name="_Toc12438"/>
      <w:r>
        <w:rPr>
          <w:rFonts w:hint="eastAsia" w:ascii="仿宋_GB2312" w:hAnsi="华文细黑" w:eastAsia="仿宋_GB2312"/>
          <w:sz w:val="28"/>
          <w:szCs w:val="28"/>
        </w:rPr>
        <w:t>3.2.1危化品储存、输送风险分析</w:t>
      </w:r>
      <w:bookmarkEnd w:id="55"/>
    </w:p>
    <w:p>
      <w:pPr>
        <w:pStyle w:val="38"/>
        <w:snapToGrid w:val="0"/>
        <w:spacing w:beforeLines="0" w:afterLines="0" w:line="360" w:lineRule="auto"/>
        <w:ind w:firstLine="512"/>
        <w:rPr>
          <w:rFonts w:ascii="仿宋" w:hAnsi="仿宋" w:eastAsia="仿宋" w:cs="仿宋"/>
          <w:szCs w:val="24"/>
        </w:rPr>
      </w:pPr>
      <w:r>
        <w:rPr>
          <w:rFonts w:hint="eastAsia" w:ascii="仿宋" w:hAnsi="仿宋" w:eastAsia="仿宋" w:cs="仿宋"/>
          <w:szCs w:val="24"/>
        </w:rPr>
        <w:t>本项目使用的危险化学品分别存放于储罐区和危化品仓库，属于有毒、有害、易燃、易爆和腐蚀物品。储罐区存放的危险化学品有：盐酸、硫酸、硝酸、乙醇、液碱和二氯乙烷；危化品仓库存放的危险化学品有：</w:t>
      </w:r>
      <w:r>
        <w:rPr>
          <w:rFonts w:hint="eastAsia" w:ascii="仿宋" w:hAnsi="仿宋" w:eastAsia="仿宋" w:cs="仿宋"/>
          <w:kern w:val="2"/>
          <w:szCs w:val="24"/>
        </w:rPr>
        <w:t>二聚环戊二烯、二氯乙酰氯、正己烷、三乙胺、片碱、二氯甲烷、N-乙基苯胺、环己烷和2，6-二氯苯酚。</w:t>
      </w:r>
    </w:p>
    <w:p>
      <w:pPr>
        <w:pStyle w:val="38"/>
        <w:snapToGrid w:val="0"/>
        <w:spacing w:beforeLines="0" w:afterLines="0" w:line="360" w:lineRule="auto"/>
        <w:ind w:firstLine="512"/>
        <w:rPr>
          <w:rFonts w:ascii="仿宋_GB2312" w:eastAsia="仿宋_GB2312"/>
          <w:szCs w:val="24"/>
        </w:rPr>
      </w:pPr>
      <w:r>
        <w:rPr>
          <w:rFonts w:hint="eastAsia" w:ascii="仿宋" w:hAnsi="仿宋" w:eastAsia="仿宋" w:cs="仿宋"/>
          <w:szCs w:val="24"/>
        </w:rPr>
        <w:t>原料储存过程中存在的风险主要是有毒有害物质泄漏造成环境污染，易燃物质泄漏引发火灾、爆炸及环境污染，腐蚀品泄漏导致人员伤害等。厂区储罐、包装桶、包装袋及物料输送管道泄漏主要发生在阀门失效、管口连接处等。发生泄漏的常见原因有：由于管理不善，工人违章操作以及设备、容器陈旧，管道破裂，阀门损漏，贮罐运输不当，贮罐存在质量问题，罐体腐蚀破裂等导致生产性事故或意外事故所造成。</w:t>
      </w:r>
    </w:p>
    <w:p>
      <w:pPr>
        <w:pStyle w:val="4"/>
        <w:snapToGrid w:val="0"/>
        <w:spacing w:before="0" w:after="0" w:line="360" w:lineRule="auto"/>
        <w:ind w:firstLine="560" w:firstLineChars="200"/>
        <w:rPr>
          <w:rFonts w:ascii="仿宋_GB2312" w:hAnsi="华文细黑" w:eastAsia="仿宋_GB2312" w:cs="Arial"/>
          <w:b w:val="0"/>
          <w:kern w:val="0"/>
          <w:sz w:val="28"/>
          <w:szCs w:val="28"/>
        </w:rPr>
      </w:pPr>
      <w:bookmarkStart w:id="56" w:name="_Toc10020"/>
      <w:r>
        <w:rPr>
          <w:rFonts w:hint="eastAsia" w:ascii="仿宋_GB2312" w:hAnsi="华文细黑" w:eastAsia="仿宋_GB2312" w:cs="Arial"/>
          <w:b w:val="0"/>
          <w:kern w:val="0"/>
          <w:sz w:val="28"/>
          <w:szCs w:val="28"/>
        </w:rPr>
        <w:t>3.2.2生产过程风险分析</w:t>
      </w:r>
      <w:bookmarkEnd w:id="56"/>
    </w:p>
    <w:p>
      <w:pPr>
        <w:pStyle w:val="38"/>
        <w:snapToGrid w:val="0"/>
        <w:spacing w:beforeLines="0" w:afterLines="0" w:line="360" w:lineRule="auto"/>
        <w:ind w:firstLine="512"/>
        <w:rPr>
          <w:rFonts w:ascii="仿宋_GB2312" w:hAnsi="华文细黑" w:eastAsia="仿宋_GB2312"/>
          <w:szCs w:val="24"/>
        </w:rPr>
      </w:pPr>
      <w:r>
        <w:rPr>
          <w:rFonts w:hint="eastAsia" w:ascii="仿宋_GB2312" w:hAnsi="华文细黑" w:eastAsia="仿宋_GB2312"/>
          <w:szCs w:val="24"/>
        </w:rPr>
        <w:t>生产过程中的设备大部分以反应釜为主，反应釜的管道、阀门严重腐蚀或因外力撞击损坏造成泄漏，遇热源、明火会造成火灾、爆炸等均可能导致事故的发生</w:t>
      </w:r>
      <w:r>
        <w:rPr>
          <w:rFonts w:hint="eastAsia" w:ascii="仿宋_GB2312" w:hAnsi="华文细黑" w:eastAsia="仿宋_GB2312"/>
          <w:kern w:val="11"/>
          <w:szCs w:val="24"/>
        </w:rPr>
        <w:t>。</w:t>
      </w:r>
      <w:r>
        <w:rPr>
          <w:rFonts w:hint="eastAsia" w:ascii="仿宋_GB2312" w:hAnsi="华文细黑" w:eastAsia="仿宋_GB2312"/>
          <w:szCs w:val="24"/>
        </w:rPr>
        <w:t>发生泄漏时可能造成人员中毒；发生火灾、爆炸事故时可能造成厂内人员伤亡和设备损毁，危及周边居民的生命及财产安全。本公司制定了严格的设备检修制度，定期对设备进行维护、保养，确保了生产的正常运行，此类事故发生率很低。</w:t>
      </w:r>
    </w:p>
    <w:p>
      <w:pPr>
        <w:pStyle w:val="38"/>
        <w:snapToGrid w:val="0"/>
        <w:spacing w:beforeLines="0" w:afterLines="0" w:line="360" w:lineRule="auto"/>
        <w:ind w:firstLine="512"/>
        <w:rPr>
          <w:rFonts w:ascii="仿宋_GB2312" w:hAnsi="华文细黑" w:eastAsia="仿宋_GB2312"/>
          <w:szCs w:val="24"/>
        </w:rPr>
      </w:pPr>
      <w:r>
        <w:rPr>
          <w:rFonts w:hint="eastAsia" w:ascii="仿宋_GB2312" w:hAnsi="华文细黑" w:eastAsia="仿宋_GB2312"/>
          <w:szCs w:val="24"/>
        </w:rPr>
        <w:t>本项目涉及到氯化工艺、硝化工艺和加氢工艺，属于危险工艺，反应过程中产生的重氮盐，受热或摩擦、碰撞能发生分解，存在爆炸的风险；含重氮盐的溶液洒落在地上、蒸汽管道上，干燥后亦存在着火或爆炸的风险；作为重氮剂的芳胺化合物及生产过程中使用的亚硝酸钠在一定条件下，均存在火灾或爆炸的风险。</w:t>
      </w:r>
    </w:p>
    <w:p>
      <w:pPr>
        <w:snapToGrid w:val="0"/>
        <w:spacing w:line="360" w:lineRule="auto"/>
        <w:ind w:firstLine="560" w:firstLineChars="200"/>
        <w:outlineLvl w:val="2"/>
        <w:rPr>
          <w:rFonts w:ascii="仿宋_GB2312" w:hAnsi="华文细黑" w:eastAsia="仿宋_GB2312"/>
          <w:sz w:val="28"/>
          <w:szCs w:val="28"/>
        </w:rPr>
      </w:pPr>
      <w:bookmarkStart w:id="57" w:name="_Toc27161"/>
      <w:r>
        <w:rPr>
          <w:rFonts w:hint="eastAsia" w:ascii="仿宋_GB2312" w:hAnsi="华文细黑" w:eastAsia="仿宋_GB2312"/>
          <w:sz w:val="28"/>
          <w:szCs w:val="28"/>
        </w:rPr>
        <w:t>3.2.3废水处理设施风险分析</w:t>
      </w:r>
      <w:bookmarkEnd w:id="57"/>
    </w:p>
    <w:p>
      <w:pPr>
        <w:snapToGrid w:val="0"/>
        <w:spacing w:line="360" w:lineRule="auto"/>
        <w:ind w:firstLine="480"/>
        <w:rPr>
          <w:rFonts w:ascii="仿宋_GB2312" w:eastAsia="仿宋_GB2312"/>
          <w:sz w:val="28"/>
          <w:szCs w:val="28"/>
        </w:rPr>
      </w:pPr>
      <w:r>
        <w:rPr>
          <w:rFonts w:hint="eastAsia" w:ascii="仿宋_GB2312" w:hAnsi="华文细黑" w:eastAsia="仿宋_GB2312" w:cs="Times New Roman"/>
          <w:spacing w:val="8"/>
          <w:sz w:val="24"/>
          <w:szCs w:val="24"/>
        </w:rPr>
        <w:t>本项目废水主要来自生产废水、办公生活设施用水等环节，水中污染物主要是有机物，污水处理站事故排放发生的原因主要是污水处理站故障。造成污水处理站故障的原因有突然停电、关键设备出问题（如提升泵、供氧系统），高负荷废水冲击会导致污水处理站崩溃，处理效率急剧下降。造成大量未达标的废水直接排入城市管网，会对北沟污水处理厂造成冲击。</w:t>
      </w:r>
    </w:p>
    <w:p>
      <w:pPr>
        <w:snapToGrid w:val="0"/>
        <w:spacing w:line="360" w:lineRule="auto"/>
        <w:outlineLvl w:val="2"/>
        <w:rPr>
          <w:rFonts w:ascii="仿宋_GB2312" w:hAnsi="华文细黑" w:eastAsia="仿宋_GB2312"/>
          <w:sz w:val="28"/>
          <w:szCs w:val="28"/>
        </w:rPr>
      </w:pPr>
      <w:bookmarkStart w:id="58" w:name="_Toc10953"/>
      <w:r>
        <w:rPr>
          <w:rFonts w:hint="eastAsia" w:ascii="仿宋_GB2312" w:hAnsi="华文细黑" w:eastAsia="仿宋_GB2312"/>
          <w:sz w:val="28"/>
          <w:szCs w:val="28"/>
        </w:rPr>
        <w:t>3.2.4废气处理设施风险分析</w:t>
      </w:r>
      <w:bookmarkEnd w:id="58"/>
    </w:p>
    <w:p>
      <w:pPr>
        <w:snapToGrid w:val="0"/>
        <w:spacing w:line="360" w:lineRule="auto"/>
        <w:ind w:firstLine="480"/>
        <w:rPr>
          <w:rFonts w:ascii="仿宋_GB2312" w:hAnsi="Times New Roman" w:eastAsia="仿宋_GB2312" w:cs="Times New Roman"/>
          <w:kern w:val="2"/>
          <w:sz w:val="24"/>
          <w:szCs w:val="24"/>
        </w:rPr>
      </w:pPr>
      <w:r>
        <w:rPr>
          <w:rFonts w:hint="eastAsia" w:ascii="仿宋_GB2312" w:eastAsia="仿宋_GB2312"/>
          <w:kern w:val="2"/>
          <w:sz w:val="24"/>
          <w:szCs w:val="24"/>
        </w:rPr>
        <w:t>废气处理设施发生故障，导致生产过程中产生的酸性废气、颗粒物、恶臭等污染物的</w:t>
      </w:r>
      <w:r>
        <w:rPr>
          <w:rFonts w:hint="eastAsia" w:ascii="仿宋_GB2312" w:hAnsi="Times New Roman" w:eastAsia="仿宋_GB2312" w:cs="Times New Roman"/>
          <w:kern w:val="2"/>
          <w:sz w:val="24"/>
          <w:szCs w:val="24"/>
        </w:rPr>
        <w:t>排放浓度和排放速率将超出排放标准，造成区域内环境空气的污染。</w:t>
      </w:r>
    </w:p>
    <w:p>
      <w:pPr>
        <w:snapToGrid w:val="0"/>
        <w:spacing w:line="360" w:lineRule="auto"/>
        <w:outlineLvl w:val="2"/>
        <w:rPr>
          <w:rFonts w:ascii="仿宋_GB2312" w:hAnsi="华文细黑" w:eastAsia="仿宋_GB2312"/>
          <w:sz w:val="28"/>
          <w:szCs w:val="28"/>
        </w:rPr>
      </w:pPr>
      <w:bookmarkStart w:id="59" w:name="_Toc5055"/>
      <w:bookmarkStart w:id="60" w:name="_Toc410289769"/>
      <w:r>
        <w:rPr>
          <w:rFonts w:hint="eastAsia" w:ascii="仿宋_GB2312" w:hAnsi="华文细黑" w:eastAsia="仿宋_GB2312"/>
          <w:sz w:val="28"/>
          <w:szCs w:val="28"/>
        </w:rPr>
        <w:t>3.2.5危险废物暂存、处置风险分析</w:t>
      </w:r>
      <w:bookmarkEnd w:id="59"/>
    </w:p>
    <w:p>
      <w:pPr>
        <w:pStyle w:val="38"/>
        <w:snapToGrid w:val="0"/>
        <w:spacing w:beforeLines="0" w:afterLines="0" w:line="360" w:lineRule="auto"/>
        <w:ind w:firstLine="472"/>
        <w:rPr>
          <w:rFonts w:ascii="仿宋_GB2312" w:hAnsi="Times New Roman" w:eastAsia="仿宋_GB2312"/>
          <w:sz w:val="28"/>
          <w:lang w:val="zh-CN"/>
        </w:rPr>
      </w:pPr>
      <w:r>
        <w:rPr>
          <w:rFonts w:hint="eastAsia" w:ascii="Times New Roman" w:hAnsi="Times New Roman" w:eastAsia="仿宋_GB2312"/>
          <w:spacing w:val="-2"/>
          <w:szCs w:val="24"/>
        </w:rPr>
        <w:t>公司</w:t>
      </w:r>
      <w:r>
        <w:rPr>
          <w:rFonts w:hint="eastAsia" w:ascii="仿宋_GB2312" w:hAnsi="华文细黑" w:eastAsia="仿宋_GB2312"/>
          <w:szCs w:val="24"/>
        </w:rPr>
        <w:t>危险废物主要为生产过程中产生的反应釜残液/废活性炭/废水处理过程中产生的污泥废渣和原料废包装物</w:t>
      </w:r>
      <w:r>
        <w:rPr>
          <w:rFonts w:hint="eastAsia" w:ascii="Times New Roman" w:hAnsi="Times New Roman" w:eastAsia="仿宋_GB2312"/>
          <w:spacing w:val="-2"/>
          <w:szCs w:val="24"/>
          <w:lang w:val="zh-CN"/>
        </w:rPr>
        <w:t>，厂内危废库暂存后委托鑫广绿环再生资源股份有限公司处置，</w:t>
      </w:r>
      <w:r>
        <w:rPr>
          <w:rFonts w:hint="eastAsia" w:ascii="Times New Roman" w:hAnsi="Times New Roman" w:eastAsia="仿宋_GB2312"/>
          <w:spacing w:val="-2"/>
          <w:szCs w:val="24"/>
        </w:rPr>
        <w:t>若储存场所防渗不符合要求，储存过程中产生的废液渗入地下，对土壤及地下水造成污染；各种危险物若未做好分类收集、有效处理，可能会对大气、水环境和土壤造成二次污染。</w:t>
      </w:r>
    </w:p>
    <w:p>
      <w:pPr>
        <w:snapToGrid w:val="0"/>
        <w:spacing w:line="360" w:lineRule="auto"/>
        <w:ind w:firstLine="560" w:firstLineChars="200"/>
        <w:outlineLvl w:val="2"/>
        <w:rPr>
          <w:rFonts w:ascii="仿宋_GB2312" w:hAnsi="华文细黑" w:eastAsia="仿宋_GB2312"/>
          <w:sz w:val="28"/>
          <w:szCs w:val="28"/>
        </w:rPr>
      </w:pPr>
      <w:bookmarkStart w:id="61" w:name="_Toc16571"/>
      <w:r>
        <w:rPr>
          <w:rFonts w:hint="eastAsia" w:ascii="仿宋_GB2312" w:hAnsi="华文细黑" w:eastAsia="仿宋_GB2312"/>
          <w:sz w:val="28"/>
          <w:szCs w:val="28"/>
        </w:rPr>
        <w:t>3.2.6其他风险分析</w:t>
      </w:r>
      <w:bookmarkEnd w:id="61"/>
    </w:p>
    <w:p>
      <w:pPr>
        <w:pStyle w:val="19"/>
        <w:snapToGri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（一）人为因素</w:t>
      </w:r>
    </w:p>
    <w:p>
      <w:pPr>
        <w:pStyle w:val="19"/>
        <w:snapToGrid w:val="0"/>
        <w:spacing w:before="0" w:beforeAutospacing="0" w:after="0" w:afterAutospacing="0" w:line="360" w:lineRule="auto"/>
        <w:ind w:firstLine="480" w:firstLineChars="200"/>
        <w:rPr>
          <w:rFonts w:ascii="仿宋_GB2312" w:eastAsia="仿宋_GB2312"/>
          <w:sz w:val="28"/>
          <w:szCs w:val="28"/>
        </w:rPr>
      </w:pPr>
      <w:r>
        <w:rPr>
          <w:rFonts w:hint="eastAsia" w:ascii="仿宋_GB2312" w:eastAsia="仿宋_GB2312"/>
        </w:rPr>
        <w:t>由于管理上的原因，员工违章作业，违反劳动纪律及人为失误都会带来危险、危害，造成事故。</w:t>
      </w:r>
    </w:p>
    <w:p>
      <w:pPr>
        <w:pStyle w:val="19"/>
        <w:snapToGri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（二）自然因素</w:t>
      </w:r>
    </w:p>
    <w:p>
      <w:pPr>
        <w:pStyle w:val="19"/>
        <w:snapToGri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雷雨天气，建筑物、设施有遭受雷击的危险性，暴雨影响和狂风的袭击，有可能造成厂房设施受损，造成洪涝灾害。</w:t>
      </w:r>
    </w:p>
    <w:p>
      <w:pPr>
        <w:pStyle w:val="6"/>
        <w:snapToGrid w:val="0"/>
        <w:spacing w:after="0" w:line="360" w:lineRule="auto"/>
        <w:rPr>
          <w:rFonts w:ascii="仿宋_GB2312" w:hAnsi="华文细黑" w:eastAsia="仿宋_GB2312"/>
          <w:sz w:val="28"/>
          <w:szCs w:val="28"/>
        </w:rPr>
      </w:pPr>
      <w:bookmarkStart w:id="62" w:name="_Toc1880"/>
      <w:r>
        <w:rPr>
          <w:rStyle w:val="29"/>
          <w:rFonts w:hint="eastAsia" w:ascii="仿宋" w:hAnsi="仿宋" w:eastAsia="仿宋" w:cs="仿宋"/>
          <w:b w:val="0"/>
          <w:bCs/>
          <w:sz w:val="28"/>
          <w:szCs w:val="28"/>
        </w:rPr>
        <w:t>3.2.7次生/衍生环境风险分析</w:t>
      </w:r>
      <w:bookmarkEnd w:id="62"/>
    </w:p>
    <w:p>
      <w:pPr>
        <w:snapToGrid w:val="0"/>
        <w:spacing w:line="360" w:lineRule="auto"/>
        <w:ind w:firstLine="480"/>
        <w:rPr>
          <w:rFonts w:ascii="仿宋_GB2312" w:hAnsi="Times New Roman" w:eastAsia="仿宋_GB2312" w:cs="Times New Roman"/>
          <w:kern w:val="2"/>
          <w:sz w:val="24"/>
          <w:szCs w:val="24"/>
        </w:rPr>
      </w:pPr>
      <w:r>
        <w:rPr>
          <w:rFonts w:hint="eastAsia" w:ascii="仿宋_GB2312" w:hAnsi="宋体" w:eastAsia="仿宋_GB2312" w:cs="宋体"/>
          <w:sz w:val="24"/>
          <w:szCs w:val="24"/>
        </w:rPr>
        <w:t>危化品储存、使用过程中引发火灾，可能产生的次生污染为火灾消防水、消防土及燃烧废气。</w:t>
      </w:r>
    </w:p>
    <w:bookmarkEnd w:id="60"/>
    <w:p>
      <w:pPr>
        <w:pStyle w:val="38"/>
        <w:snapToGrid w:val="0"/>
        <w:spacing w:beforeLines="0" w:afterLines="0" w:line="360" w:lineRule="auto"/>
        <w:ind w:firstLine="674"/>
        <w:jc w:val="center"/>
        <w:rPr>
          <w:rFonts w:ascii="仿宋_GB2312" w:hAnsi="华文细黑" w:eastAsia="仿宋_GB2312"/>
          <w:b/>
          <w:sz w:val="28"/>
        </w:rPr>
      </w:pPr>
      <w:bookmarkStart w:id="63" w:name="_Toc224965871"/>
      <w:bookmarkStart w:id="64" w:name="_Toc410289773"/>
      <w:bookmarkStart w:id="65" w:name="_Toc225244054"/>
      <w:bookmarkStart w:id="66" w:name="_Toc224965875"/>
      <w:r>
        <w:rPr>
          <w:rFonts w:hint="eastAsia" w:ascii="仿宋_GB2312" w:hAnsi="华文细黑" w:eastAsia="仿宋_GB2312"/>
          <w:b/>
          <w:sz w:val="32"/>
          <w:szCs w:val="32"/>
        </w:rPr>
        <w:br w:type="page"/>
      </w:r>
      <w:r>
        <w:rPr>
          <w:rFonts w:hint="eastAsia" w:ascii="仿宋_GB2312" w:hAnsi="华文细黑" w:eastAsia="仿宋_GB2312"/>
          <w:b/>
          <w:sz w:val="32"/>
          <w:szCs w:val="32"/>
        </w:rPr>
        <w:t>4 应急组织机构及职责</w:t>
      </w:r>
      <w:bookmarkEnd w:id="63"/>
      <w:bookmarkEnd w:id="64"/>
      <w:bookmarkEnd w:id="65"/>
    </w:p>
    <w:p>
      <w:pPr>
        <w:snapToGrid w:val="0"/>
        <w:spacing w:line="360" w:lineRule="auto"/>
        <w:ind w:firstLine="560" w:firstLineChars="200"/>
        <w:outlineLvl w:val="1"/>
        <w:rPr>
          <w:rFonts w:ascii="仿宋_GB2312" w:hAnsi="华文细黑" w:eastAsia="仿宋_GB2312"/>
          <w:sz w:val="28"/>
          <w:szCs w:val="28"/>
        </w:rPr>
      </w:pPr>
      <w:bookmarkStart w:id="67" w:name="_Toc224965874"/>
      <w:bookmarkStart w:id="68" w:name="_Toc410289774"/>
      <w:bookmarkStart w:id="69" w:name="_Toc31549"/>
      <w:r>
        <w:rPr>
          <w:rFonts w:hint="eastAsia" w:ascii="仿宋_GB2312" w:hAnsi="华文细黑" w:eastAsia="仿宋_GB2312"/>
          <w:sz w:val="28"/>
          <w:szCs w:val="28"/>
        </w:rPr>
        <w:t>4.1</w:t>
      </w:r>
      <w:bookmarkEnd w:id="67"/>
      <w:r>
        <w:rPr>
          <w:rFonts w:hint="eastAsia" w:ascii="仿宋_GB2312" w:hAnsi="华文细黑" w:eastAsia="仿宋_GB2312"/>
          <w:sz w:val="28"/>
          <w:szCs w:val="28"/>
        </w:rPr>
        <w:t>组织体系</w:t>
      </w:r>
      <w:bookmarkEnd w:id="68"/>
      <w:bookmarkEnd w:id="69"/>
    </w:p>
    <w:p>
      <w:pPr>
        <w:pStyle w:val="19"/>
        <w:snapToGri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公司设立公司级和车间级二级突发环境事件应急指挥机构。公司成立“指挥领导小组”为一级指挥机构；各生产、辅助车间成立二级应急救援指挥机构。</w:t>
      </w:r>
    </w:p>
    <w:p>
      <w:pPr>
        <w:pStyle w:val="19"/>
        <w:snapToGrid w:val="0"/>
        <w:spacing w:before="0" w:beforeAutospacing="0" w:after="0" w:afterAutospacing="0" w:line="360" w:lineRule="auto"/>
        <w:ind w:firstLine="480" w:firstLineChars="200"/>
        <w:rPr>
          <w:rFonts w:ascii="仿宋_GB2312" w:eastAsia="仿宋_GB2312"/>
          <w:sz w:val="28"/>
          <w:szCs w:val="28"/>
        </w:rPr>
      </w:pPr>
      <w:r>
        <w:rPr>
          <w:rFonts w:hint="eastAsia" w:ascii="仿宋_GB2312" w:eastAsia="仿宋_GB2312"/>
        </w:rPr>
        <w:t>应急指挥组织机构见图4-1。</w:t>
      </w:r>
    </w:p>
    <w:p>
      <w:pPr>
        <w:snapToGrid w:val="0"/>
        <w:spacing w:line="360" w:lineRule="auto"/>
        <w:jc w:val="center"/>
        <w:rPr>
          <w:rFonts w:ascii="仿宋_GB2312" w:hAnsi="华文细黑" w:eastAsia="仿宋_GB2312" w:cs="宋体"/>
          <w:b/>
          <w:sz w:val="24"/>
          <w:szCs w:val="24"/>
        </w:rPr>
      </w:pPr>
      <w:r>
        <w:rPr>
          <w:rFonts w:hint="eastAsia" w:ascii="仿宋_GB2312" w:hAnsi="华文细黑" w:eastAsia="仿宋_GB2312" w:cs="宋体"/>
          <w:b/>
          <w:sz w:val="24"/>
          <w:szCs w:val="24"/>
        </w:rPr>
        <w:object>
          <v:shape id="_x0000_i1026" o:spt="75" type="#_x0000_t75" style="height:303.75pt;width:447.75pt;" o:ole="t" filled="f" o:preferrelative="t" stroked="f" coordsize="21600,21600">
            <v:path/>
            <v:fill on="f" focussize="0,0"/>
            <v:stroke on="f" joinstyle="miter"/>
            <v:imagedata r:id="rId20" o:title=""/>
            <o:lock v:ext="edit" aspectratio="f"/>
            <w10:wrap type="none"/>
            <w10:anchorlock/>
          </v:shape>
          <o:OLEObject Type="Embed" ProgID="Visio.Drawing.11" ShapeID="_x0000_i1026" DrawAspect="Content" ObjectID="_1468075726" r:id="rId19">
            <o:LockedField>false</o:LockedField>
          </o:OLEObject>
        </w:object>
      </w:r>
    </w:p>
    <w:p>
      <w:pPr>
        <w:snapToGrid w:val="0"/>
        <w:spacing w:line="360" w:lineRule="auto"/>
        <w:jc w:val="center"/>
        <w:rPr>
          <w:rFonts w:ascii="仿宋_GB2312" w:hAnsi="华文细黑" w:eastAsia="仿宋_GB2312" w:cs="宋体"/>
          <w:b/>
          <w:sz w:val="24"/>
          <w:szCs w:val="24"/>
        </w:rPr>
      </w:pPr>
      <w:r>
        <w:rPr>
          <w:rFonts w:hint="eastAsia" w:ascii="仿宋_GB2312" w:hAnsi="华文细黑" w:eastAsia="仿宋_GB2312" w:cs="宋体"/>
          <w:b/>
          <w:sz w:val="24"/>
          <w:szCs w:val="24"/>
        </w:rPr>
        <w:t>图4-1应急指挥组织机构图</w:t>
      </w:r>
    </w:p>
    <w:p>
      <w:pPr>
        <w:snapToGrid w:val="0"/>
        <w:spacing w:line="360" w:lineRule="auto"/>
        <w:ind w:firstLine="560" w:firstLineChars="200"/>
        <w:outlineLvl w:val="1"/>
        <w:rPr>
          <w:rFonts w:ascii="仿宋_GB2312" w:hAnsi="华文细黑" w:eastAsia="仿宋_GB2312"/>
          <w:sz w:val="28"/>
          <w:szCs w:val="28"/>
        </w:rPr>
      </w:pPr>
      <w:bookmarkStart w:id="70" w:name="_Toc410289775"/>
      <w:bookmarkStart w:id="71" w:name="_Toc30475"/>
      <w:r>
        <w:rPr>
          <w:rFonts w:hint="eastAsia" w:ascii="仿宋_GB2312" w:hAnsi="华文细黑" w:eastAsia="仿宋_GB2312"/>
          <w:sz w:val="28"/>
          <w:szCs w:val="28"/>
        </w:rPr>
        <w:t>4.2指挥机构组成及职责</w:t>
      </w:r>
      <w:bookmarkEnd w:id="70"/>
      <w:bookmarkEnd w:id="71"/>
    </w:p>
    <w:p>
      <w:pPr>
        <w:snapToGrid w:val="0"/>
        <w:spacing w:line="360" w:lineRule="auto"/>
        <w:ind w:firstLine="560" w:firstLineChars="200"/>
        <w:outlineLvl w:val="2"/>
        <w:rPr>
          <w:rFonts w:ascii="仿宋_GB2312" w:hAnsi="华文细黑" w:eastAsia="仿宋_GB2312"/>
          <w:sz w:val="28"/>
          <w:szCs w:val="28"/>
        </w:rPr>
      </w:pPr>
      <w:bookmarkStart w:id="72" w:name="_Toc12573"/>
      <w:r>
        <w:rPr>
          <w:rFonts w:hint="eastAsia" w:ascii="仿宋_GB2312" w:hAnsi="华文细黑" w:eastAsia="仿宋_GB2312"/>
          <w:sz w:val="28"/>
          <w:szCs w:val="28"/>
        </w:rPr>
        <w:t>4.2.1指挥机构组成</w:t>
      </w:r>
      <w:bookmarkEnd w:id="72"/>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公司成立突发环境事件应急“指挥领导小组”，总指挥由总经理</w:t>
      </w:r>
      <w:r>
        <w:rPr>
          <w:rFonts w:hint="eastAsia" w:ascii="仿宋" w:hAnsi="仿宋" w:eastAsia="仿宋" w:cs="仿宋"/>
          <w:sz w:val="24"/>
        </w:rPr>
        <w:t>陈汶年</w:t>
      </w:r>
      <w:r>
        <w:rPr>
          <w:rFonts w:hint="eastAsia" w:ascii="仿宋" w:hAnsi="仿宋" w:eastAsia="仿宋" w:cs="仿宋"/>
          <w:sz w:val="24"/>
          <w:szCs w:val="24"/>
        </w:rPr>
        <w:t>担任, 副总指挥由副总经理李德成、孙行用担任，成员由各部门主任及车间主任组成，下设应急救援办公室（设在公司环保部），办公室主任由环保主任顾兆烨担任。</w:t>
      </w:r>
    </w:p>
    <w:p>
      <w:pPr>
        <w:snapToGrid w:val="0"/>
        <w:spacing w:line="360" w:lineRule="auto"/>
        <w:ind w:firstLine="470" w:firstLineChars="196"/>
        <w:rPr>
          <w:rFonts w:ascii="仿宋_GB2312" w:hAnsi="华文细黑" w:eastAsia="仿宋_GB2312"/>
          <w:kern w:val="11"/>
          <w:sz w:val="28"/>
          <w:szCs w:val="28"/>
        </w:rPr>
      </w:pPr>
      <w:r>
        <w:rPr>
          <w:rFonts w:hint="eastAsia" w:ascii="仿宋" w:hAnsi="仿宋" w:eastAsia="仿宋" w:cs="仿宋"/>
          <w:sz w:val="24"/>
          <w:szCs w:val="24"/>
        </w:rPr>
        <w:t>发生突发重大事件时，以指挥领导小组为基础，即突发事件应急指挥部，总经理</w:t>
      </w:r>
      <w:r>
        <w:rPr>
          <w:rFonts w:hint="eastAsia" w:ascii="仿宋" w:hAnsi="仿宋" w:eastAsia="仿宋" w:cs="仿宋"/>
          <w:sz w:val="24"/>
        </w:rPr>
        <w:t>陈汶年</w:t>
      </w:r>
      <w:r>
        <w:rPr>
          <w:rFonts w:hint="eastAsia" w:ascii="仿宋" w:hAnsi="仿宋" w:eastAsia="仿宋" w:cs="仿宋"/>
          <w:sz w:val="24"/>
          <w:szCs w:val="24"/>
        </w:rPr>
        <w:t>任总指挥，副总经理李德成、孙行用任副总指挥，负责全厂应急救援工作的组织和指挥。</w:t>
      </w:r>
      <w:r>
        <w:rPr>
          <w:rFonts w:hint="eastAsia" w:ascii="仿宋" w:hAnsi="仿宋" w:eastAsia="仿宋" w:cs="仿宋"/>
          <w:kern w:val="11"/>
          <w:sz w:val="24"/>
          <w:szCs w:val="24"/>
        </w:rPr>
        <w:t>如总指挥不在时，副总指挥全权负责应急救援指挥工作。总指挥及副总指挥皆不在企业时，由</w:t>
      </w:r>
      <w:r>
        <w:rPr>
          <w:rFonts w:hint="eastAsia" w:ascii="仿宋" w:hAnsi="仿宋" w:eastAsia="仿宋" w:cs="仿宋"/>
          <w:sz w:val="24"/>
          <w:szCs w:val="24"/>
        </w:rPr>
        <w:t>环保主任顾兆烨</w:t>
      </w:r>
      <w:r>
        <w:rPr>
          <w:rFonts w:hint="eastAsia" w:ascii="仿宋" w:hAnsi="仿宋" w:eastAsia="仿宋" w:cs="仿宋"/>
          <w:kern w:val="11"/>
          <w:sz w:val="24"/>
          <w:szCs w:val="24"/>
        </w:rPr>
        <w:t>全权负责应急救援指挥工作。在非常特殊情况下，均不在企业时，由事故发生所在部位第一负责人负责应急救援指挥工作。</w:t>
      </w:r>
    </w:p>
    <w:p>
      <w:pPr>
        <w:snapToGrid w:val="0"/>
        <w:spacing w:line="360" w:lineRule="auto"/>
        <w:ind w:firstLine="560" w:firstLineChars="200"/>
        <w:outlineLvl w:val="2"/>
        <w:rPr>
          <w:rFonts w:ascii="仿宋_GB2312" w:hAnsi="华文细黑" w:eastAsia="仿宋_GB2312" w:cs="宋体"/>
          <w:sz w:val="28"/>
          <w:szCs w:val="28"/>
        </w:rPr>
      </w:pPr>
      <w:bookmarkStart w:id="73" w:name="_Toc7845"/>
      <w:bookmarkStart w:id="74" w:name="_Toc410289776"/>
      <w:r>
        <w:rPr>
          <w:rFonts w:hint="eastAsia" w:ascii="仿宋_GB2312" w:hAnsi="华文细黑" w:eastAsia="仿宋_GB2312"/>
          <w:sz w:val="28"/>
          <w:szCs w:val="28"/>
        </w:rPr>
        <w:t>4.2.1.1指挥机构组成</w:t>
      </w:r>
      <w:bookmarkEnd w:id="73"/>
      <w:bookmarkEnd w:id="74"/>
    </w:p>
    <w:p>
      <w:pPr>
        <w:snapToGrid w:val="0"/>
        <w:spacing w:line="360" w:lineRule="auto"/>
        <w:ind w:firstLine="480" w:firstLineChars="200"/>
        <w:rPr>
          <w:rFonts w:ascii="仿宋" w:hAnsi="仿宋" w:eastAsia="仿宋"/>
          <w:sz w:val="24"/>
          <w:szCs w:val="24"/>
        </w:rPr>
      </w:pPr>
      <w:r>
        <w:rPr>
          <w:rFonts w:hint="eastAsia" w:ascii="仿宋" w:hAnsi="仿宋" w:eastAsia="仿宋" w:cs="宋体"/>
          <w:sz w:val="24"/>
          <w:szCs w:val="24"/>
        </w:rPr>
        <w:t>总 指 挥：</w:t>
      </w:r>
      <w:r>
        <w:rPr>
          <w:rFonts w:hint="eastAsia" w:ascii="仿宋" w:hAnsi="仿宋" w:eastAsia="仿宋" w:cs="仿宋"/>
          <w:sz w:val="24"/>
        </w:rPr>
        <w:t>陈汶年</w:t>
      </w:r>
    </w:p>
    <w:p>
      <w:pPr>
        <w:snapToGrid w:val="0"/>
        <w:spacing w:line="360" w:lineRule="auto"/>
        <w:ind w:firstLine="480" w:firstLineChars="200"/>
        <w:rPr>
          <w:rFonts w:ascii="仿宋" w:hAnsi="仿宋" w:eastAsia="仿宋"/>
          <w:sz w:val="24"/>
          <w:szCs w:val="24"/>
        </w:rPr>
      </w:pPr>
      <w:r>
        <w:rPr>
          <w:rFonts w:hint="eastAsia" w:ascii="仿宋" w:hAnsi="仿宋" w:eastAsia="仿宋" w:cs="宋体"/>
          <w:sz w:val="24"/>
          <w:szCs w:val="24"/>
        </w:rPr>
        <w:t>副总指</w:t>
      </w:r>
      <w:r>
        <w:rPr>
          <w:rFonts w:hint="eastAsia" w:ascii="仿宋" w:hAnsi="仿宋" w:eastAsia="仿宋"/>
          <w:sz w:val="24"/>
          <w:szCs w:val="24"/>
        </w:rPr>
        <w:t>挥：</w:t>
      </w:r>
      <w:r>
        <w:rPr>
          <w:rFonts w:hint="eastAsia" w:ascii="仿宋" w:hAnsi="仿宋" w:eastAsia="仿宋" w:cs="仿宋"/>
          <w:sz w:val="24"/>
          <w:szCs w:val="24"/>
        </w:rPr>
        <w:t>李德成、孙行用</w:t>
      </w:r>
    </w:p>
    <w:p>
      <w:pPr>
        <w:snapToGrid w:val="0"/>
        <w:spacing w:line="360" w:lineRule="auto"/>
        <w:ind w:firstLine="480" w:firstLineChars="200"/>
        <w:jc w:val="left"/>
        <w:rPr>
          <w:rFonts w:ascii="仿宋_GB2312" w:hAnsi="华文细黑" w:eastAsia="仿宋_GB2312" w:cs="宋体"/>
          <w:color w:val="FF0000"/>
          <w:sz w:val="24"/>
        </w:rPr>
      </w:pPr>
      <w:r>
        <w:rPr>
          <w:rFonts w:hint="eastAsia" w:ascii="仿宋" w:hAnsi="仿宋" w:eastAsia="仿宋"/>
          <w:sz w:val="24"/>
          <w:szCs w:val="24"/>
        </w:rPr>
        <w:t>成    员：姜作恩、席永利、顾兆烨、张云起、姜月丽、姜美华、王明明、孙涛、谢爱田</w:t>
      </w:r>
    </w:p>
    <w:p>
      <w:pPr>
        <w:snapToGrid w:val="0"/>
        <w:spacing w:line="360" w:lineRule="auto"/>
        <w:ind w:firstLine="560" w:firstLineChars="200"/>
        <w:outlineLvl w:val="2"/>
        <w:rPr>
          <w:rFonts w:ascii="仿宋_GB2312" w:hAnsi="华文细黑" w:eastAsia="仿宋_GB2312"/>
          <w:sz w:val="28"/>
          <w:szCs w:val="28"/>
        </w:rPr>
      </w:pPr>
      <w:bookmarkStart w:id="75" w:name="_Toc22084"/>
      <w:bookmarkStart w:id="76" w:name="_Toc410289777"/>
      <w:r>
        <w:rPr>
          <w:rFonts w:hint="eastAsia" w:ascii="仿宋_GB2312" w:hAnsi="华文细黑" w:eastAsia="仿宋_GB2312"/>
          <w:sz w:val="28"/>
          <w:szCs w:val="28"/>
        </w:rPr>
        <w:t>4.2.1.2各应急组组成</w:t>
      </w:r>
      <w:bookmarkEnd w:id="75"/>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疏散组：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w:t>
      </w:r>
      <w:r>
        <w:rPr>
          <w:rFonts w:hint="eastAsia" w:ascii="仿宋" w:hAnsi="仿宋" w:eastAsia="仿宋"/>
          <w:sz w:val="24"/>
          <w:szCs w:val="24"/>
        </w:rPr>
        <w:t>姜作恩</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rPr>
        <w:t>成员：韩洪友、李永国、赵承功、</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警戒组：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w:t>
      </w:r>
      <w:r>
        <w:rPr>
          <w:rFonts w:hint="eastAsia" w:ascii="仿宋" w:hAnsi="仿宋" w:eastAsia="仿宋"/>
          <w:sz w:val="24"/>
        </w:rPr>
        <w:t>席永利</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rPr>
        <w:t>成员：顾兆烨、姜忠川、程盼盼、赵昊业</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通讯组： </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w:t>
      </w:r>
      <w:r>
        <w:rPr>
          <w:rFonts w:hint="eastAsia" w:ascii="仿宋" w:hAnsi="仿宋" w:eastAsia="仿宋"/>
          <w:sz w:val="24"/>
        </w:rPr>
        <w:t>张云起</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rPr>
        <w:t>成员：刘腾功、顾福娜、</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救护组：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w:t>
      </w:r>
      <w:r>
        <w:rPr>
          <w:rFonts w:hint="eastAsia" w:ascii="仿宋" w:hAnsi="仿宋" w:eastAsia="仿宋"/>
          <w:sz w:val="24"/>
        </w:rPr>
        <w:t>姜月丽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rPr>
        <w:t>成员：张云清、杨玲、王艳、</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检测组：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组长：姜美华</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rPr>
        <w:t>成员：刘世英</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抢救组： </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组长：王明明</w:t>
      </w:r>
    </w:p>
    <w:p>
      <w:pPr>
        <w:widowControl/>
        <w:snapToGrid w:val="0"/>
        <w:spacing w:line="360" w:lineRule="auto"/>
        <w:ind w:firstLine="480" w:firstLineChars="200"/>
      </w:pPr>
      <w:r>
        <w:rPr>
          <w:rFonts w:hint="eastAsia" w:ascii="仿宋" w:hAnsi="仿宋" w:eastAsia="仿宋"/>
          <w:sz w:val="24"/>
        </w:rPr>
        <w:t>成员： 孙涛、谢爱田、于建忠、孙福庆等</w:t>
      </w:r>
      <w:r>
        <w:rPr>
          <w:rFonts w:hint="eastAsia" w:ascii="仿宋" w:hAnsi="仿宋" w:eastAsia="仿宋" w:cs="仿宋"/>
          <w:sz w:val="24"/>
        </w:rPr>
        <w:t>在岗生产员工</w:t>
      </w:r>
    </w:p>
    <w:p>
      <w:pPr>
        <w:snapToGrid w:val="0"/>
        <w:spacing w:line="360" w:lineRule="auto"/>
        <w:ind w:firstLine="560" w:firstLineChars="200"/>
        <w:outlineLvl w:val="2"/>
        <w:rPr>
          <w:rFonts w:ascii="仿宋_GB2312" w:hAnsi="华文细黑" w:eastAsia="仿宋_GB2312"/>
          <w:sz w:val="28"/>
          <w:szCs w:val="28"/>
        </w:rPr>
      </w:pPr>
      <w:bookmarkStart w:id="77" w:name="_Toc29812"/>
      <w:r>
        <w:rPr>
          <w:rFonts w:hint="eastAsia" w:ascii="仿宋_GB2312" w:hAnsi="华文细黑" w:eastAsia="仿宋_GB2312"/>
          <w:sz w:val="28"/>
          <w:szCs w:val="28"/>
        </w:rPr>
        <w:t>4.2.2职责</w:t>
      </w:r>
      <w:bookmarkEnd w:id="77"/>
    </w:p>
    <w:p>
      <w:pPr>
        <w:snapToGrid w:val="0"/>
        <w:spacing w:line="360" w:lineRule="auto"/>
        <w:ind w:firstLine="560" w:firstLineChars="200"/>
        <w:outlineLvl w:val="2"/>
        <w:rPr>
          <w:rFonts w:ascii="仿宋_GB2312" w:hAnsi="华文细黑" w:eastAsia="仿宋_GB2312" w:cs="宋体"/>
          <w:sz w:val="28"/>
          <w:szCs w:val="28"/>
        </w:rPr>
      </w:pPr>
      <w:bookmarkStart w:id="78" w:name="_Toc14759"/>
      <w:r>
        <w:rPr>
          <w:rFonts w:hint="eastAsia" w:ascii="仿宋_GB2312" w:hAnsi="华文细黑" w:eastAsia="仿宋_GB2312"/>
          <w:sz w:val="28"/>
          <w:szCs w:val="28"/>
        </w:rPr>
        <w:t>4.2.2.1应急指挥机构的职责</w:t>
      </w:r>
      <w:bookmarkEnd w:id="76"/>
      <w:bookmarkEnd w:id="78"/>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（1）贯彻执行国家、当地政府、上级有关部门关于环境安全的方针、政策及规定；</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（2）组织制定突发环境事件应急预案；</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（3）组建突发环境事件应急救援队伍；</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（4）负责应急防范设施（备）的建设；以及应急救援物资的储备；</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（5）检查、督促做好突发环境事件的预防措施和应急救援的各项准备工作；</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（6）负责组织预案的审批与更新；</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（7）批准本预案的启动与终止；</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（8）确定现场指挥人员；</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（9）协调事件现场有关工作；</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（10）负责应急队伍的调动和资源配置；</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（11）突发环境事件信息的上报及可能受影响区域的通报工作；</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（12）负责应急状态下请求外部救援力量的决策；</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（13）接受上级应急救援指挥机构的指令和调动，协助事件的处理；配合有关部门对环境进行修复、事件调查、经验教训总结；</w:t>
      </w:r>
    </w:p>
    <w:p>
      <w:pPr>
        <w:widowControl/>
        <w:snapToGrid w:val="0"/>
        <w:spacing w:line="360" w:lineRule="auto"/>
      </w:pPr>
      <w:r>
        <w:rPr>
          <w:rFonts w:hint="eastAsia" w:ascii="仿宋" w:hAnsi="仿宋" w:eastAsia="仿宋"/>
          <w:sz w:val="24"/>
          <w:szCs w:val="24"/>
        </w:rPr>
        <w:t xml:space="preserve">    （14）负责保护事件现场及相关数据；</w:t>
      </w:r>
    </w:p>
    <w:p>
      <w:pPr>
        <w:snapToGrid w:val="0"/>
        <w:spacing w:line="360" w:lineRule="auto"/>
        <w:ind w:firstLine="560" w:firstLineChars="200"/>
        <w:outlineLvl w:val="2"/>
        <w:rPr>
          <w:rFonts w:ascii="仿宋_GB2312" w:hAnsi="华文细黑" w:eastAsia="仿宋_GB2312"/>
          <w:sz w:val="28"/>
          <w:szCs w:val="28"/>
        </w:rPr>
      </w:pPr>
      <w:bookmarkStart w:id="79" w:name="_Toc32246"/>
      <w:bookmarkStart w:id="80" w:name="_Toc410289778"/>
      <w:r>
        <w:rPr>
          <w:rFonts w:hint="eastAsia" w:ascii="仿宋_GB2312" w:hAnsi="华文细黑" w:eastAsia="仿宋_GB2312"/>
          <w:sz w:val="28"/>
          <w:szCs w:val="28"/>
        </w:rPr>
        <w:t>4.2.2.2指挥机构分工及主要职责</w:t>
      </w:r>
      <w:bookmarkEnd w:id="79"/>
      <w:bookmarkEnd w:id="80"/>
    </w:p>
    <w:p>
      <w:pPr>
        <w:pStyle w:val="5"/>
        <w:adjustRightInd w:val="0"/>
        <w:snapToGrid w:val="0"/>
        <w:spacing w:after="0"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总指挥的职责：</w:t>
      </w:r>
    </w:p>
    <w:p>
      <w:pPr>
        <w:pStyle w:val="5"/>
        <w:numPr>
          <w:ilvl w:val="0"/>
          <w:numId w:val="2"/>
        </w:numPr>
        <w:adjustRightInd w:val="0"/>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负责组织指挥公司的应急救援工作；</w:t>
      </w:r>
    </w:p>
    <w:p>
      <w:pPr>
        <w:pStyle w:val="5"/>
        <w:numPr>
          <w:ilvl w:val="0"/>
          <w:numId w:val="2"/>
        </w:numPr>
        <w:adjustRightInd w:val="0"/>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配置应急救援的人力资源、资金和应急物资；</w:t>
      </w:r>
    </w:p>
    <w:p>
      <w:pPr>
        <w:pStyle w:val="5"/>
        <w:numPr>
          <w:ilvl w:val="0"/>
          <w:numId w:val="2"/>
        </w:numPr>
        <w:adjustRightInd w:val="0"/>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领导应急救援指挥部开展工作，贯彻执行上级有关指示，履行应急救援方面的法律、法规；</w:t>
      </w:r>
    </w:p>
    <w:p>
      <w:pPr>
        <w:pStyle w:val="5"/>
        <w:numPr>
          <w:ilvl w:val="0"/>
          <w:numId w:val="2"/>
        </w:numPr>
        <w:adjustRightInd w:val="0"/>
        <w:snapToGrid w:val="0"/>
        <w:spacing w:after="0" w:line="360" w:lineRule="auto"/>
        <w:ind w:firstLine="480" w:firstLineChars="200"/>
        <w:rPr>
          <w:rFonts w:ascii="仿宋" w:hAnsi="仿宋" w:eastAsia="仿宋" w:cs="仿宋"/>
          <w:sz w:val="24"/>
          <w:szCs w:val="24"/>
        </w:rPr>
      </w:pPr>
      <w:r>
        <w:rPr>
          <w:rFonts w:hint="eastAsia" w:ascii="仿宋" w:hAnsi="仿宋" w:eastAsia="仿宋" w:cs="仿宋"/>
          <w:sz w:val="24"/>
          <w:szCs w:val="24"/>
        </w:rPr>
        <w:t>向政府各相关部门报告事故情况及处置情况；</w:t>
      </w:r>
    </w:p>
    <w:p>
      <w:pPr>
        <w:pStyle w:val="5"/>
        <w:numPr>
          <w:ilvl w:val="0"/>
          <w:numId w:val="2"/>
        </w:numPr>
        <w:adjustRightInd w:val="0"/>
        <w:snapToGrid w:val="0"/>
        <w:spacing w:after="0" w:line="360" w:lineRule="auto"/>
        <w:ind w:firstLine="480" w:firstLineChars="200"/>
        <w:rPr>
          <w:rFonts w:ascii="仿宋" w:hAnsi="仿宋" w:eastAsia="仿宋" w:cs="仿宋"/>
          <w:sz w:val="24"/>
          <w:szCs w:val="24"/>
        </w:rPr>
      </w:pPr>
      <w:r>
        <w:rPr>
          <w:rFonts w:hint="eastAsia" w:ascii="仿宋" w:hAnsi="仿宋" w:eastAsia="仿宋" w:cs="Arial"/>
          <w:kern w:val="0"/>
          <w:sz w:val="24"/>
          <w:szCs w:val="24"/>
        </w:rPr>
        <w:t>配合、协助政府部门做好事故的应急救援。</w:t>
      </w:r>
    </w:p>
    <w:p>
      <w:pPr>
        <w:pStyle w:val="5"/>
        <w:adjustRightInd w:val="0"/>
        <w:snapToGrid w:val="0"/>
        <w:spacing w:after="0"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 xml:space="preserve"> 副总指挥的职责：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（1）协助总指挥负责应急救援的具体指挥工作，向总指挥提出救援过程中生产运行方面应考虑和采取的安全措施。</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（2）负责组织本单位员工的安全撤离和紧急疏散工作，对人员进行清点，向总指挥报告员工伤亡、失踪等安全情况；</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（3）按总指挥命令，事故应急处理时，指挥本单位生产系统进行安全的开、停车；</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（4）按总指挥命令，组织对本单位的抢救、抢修应急人员进行事故应急救援处理工作；</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（5）设立与应急中心的通讯联系点；如有必要，为应急救援机构提供建议和信息；</w:t>
      </w:r>
    </w:p>
    <w:p>
      <w:pPr>
        <w:widowControl/>
        <w:snapToGrid w:val="0"/>
        <w:spacing w:line="360" w:lineRule="auto"/>
        <w:ind w:firstLine="480" w:firstLineChars="200"/>
        <w:rPr>
          <w:sz w:val="24"/>
          <w:szCs w:val="24"/>
        </w:rPr>
      </w:pPr>
      <w:r>
        <w:rPr>
          <w:rFonts w:hint="eastAsia" w:ascii="仿宋" w:hAnsi="仿宋" w:eastAsia="仿宋"/>
          <w:sz w:val="24"/>
          <w:szCs w:val="24"/>
        </w:rPr>
        <w:t>（6）当总指挥不在无法履行职责时，由副总指挥代行总指挥职责。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疏散组职责：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对污染区域实施隔离进行人员疏散; 确认火场有无人员滞留; 协作清理火灾现场</w:t>
      </w:r>
      <w:r>
        <w:rPr>
          <w:rFonts w:hint="eastAsia" w:ascii="仿宋" w:hAnsi="仿宋" w:eastAsia="仿宋"/>
          <w:kern w:val="2"/>
        </w:rPr>
        <w:t>﹐</w:t>
      </w:r>
      <w:r>
        <w:rPr>
          <w:rFonts w:hint="eastAsia" w:ascii="仿宋" w:hAnsi="仿宋" w:eastAsia="仿宋" w:cs="仿宋_GB2312"/>
          <w:kern w:val="2"/>
        </w:rPr>
        <w:t>恢复正常秩序</w:t>
      </w:r>
      <w:r>
        <w:rPr>
          <w:rFonts w:hint="eastAsia" w:ascii="仿宋" w:hAnsi="仿宋" w:eastAsia="仿宋" w:cs="仿宋"/>
          <w:kern w:val="2"/>
        </w:rPr>
        <w:t>; 协助统计和核实疏散人员。</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警戒组职责：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负责火场安全警戒,实施火场布控,火场区域实行交通管制;维持火场秩序,保证火场周围通道畅通;指示后续救援人员进入火场途径和告知火场状况。</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通讯组职责：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保障总指挥与各功能小组通讯畅通,将指令准确及时传达到位;按指示进行广播,传达讯息;通知警戒组接应消防车.</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救护组职责：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医疗紧急救护伤员;支持协助其他各组; 联络车辆以便对受伤人员及时转移至医院。</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检测组职责：</w:t>
      </w:r>
    </w:p>
    <w:p>
      <w:pPr>
        <w:pStyle w:val="19"/>
        <w:widowControl w:val="0"/>
        <w:adjustRightInd w:val="0"/>
        <w:snapToGrid w:val="0"/>
        <w:spacing w:before="0" w:beforeAutospacing="0" w:after="0" w:afterAutospacing="0" w:line="360" w:lineRule="auto"/>
        <w:ind w:firstLine="480" w:firstLineChars="200"/>
        <w:jc w:val="both"/>
        <w:rPr>
          <w:rFonts w:ascii="仿宋" w:hAnsi="仿宋" w:eastAsia="仿宋" w:cs="仿宋"/>
        </w:rPr>
      </w:pPr>
      <w:r>
        <w:rPr>
          <w:rFonts w:hint="eastAsia" w:ascii="仿宋" w:hAnsi="仿宋" w:eastAsia="仿宋" w:cs="仿宋"/>
          <w:kern w:val="2"/>
        </w:rPr>
        <w:t>负责火灾现场周围环境监测,防止大气/水源被污染;火灾扑灭后负责监督消防水有无处理后排放.</w:t>
      </w:r>
    </w:p>
    <w:p>
      <w:pPr>
        <w:tabs>
          <w:tab w:val="left" w:pos="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抢救组职责：</w:t>
      </w:r>
    </w:p>
    <w:p>
      <w:pPr>
        <w:tabs>
          <w:tab w:val="left" w:pos="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负责事故紧急处理，负责对后勤物资进行准备与运送。</w:t>
      </w:r>
    </w:p>
    <w:p>
      <w:pPr>
        <w:widowControl/>
        <w:snapToGrid w:val="0"/>
        <w:spacing w:line="360" w:lineRule="auto"/>
        <w:ind w:firstLine="480" w:firstLineChars="200"/>
        <w:rPr>
          <w:rFonts w:ascii="仿宋" w:hAnsi="仿宋" w:eastAsia="仿宋"/>
          <w:kern w:val="11"/>
          <w:sz w:val="24"/>
          <w:szCs w:val="24"/>
        </w:rPr>
      </w:pPr>
      <w:r>
        <w:rPr>
          <w:rFonts w:hint="eastAsia" w:ascii="仿宋" w:hAnsi="仿宋" w:eastAsia="仿宋"/>
          <w:kern w:val="11"/>
          <w:sz w:val="24"/>
          <w:szCs w:val="24"/>
        </w:rPr>
        <w:t>应急救援办公室职责：负责传达指挥部的决定和工作安排；专项资金的筹备与专用物资的采购；现场人员抢救、设备抢修、协助有关部门进行救援工作；对现场的事故状态进行分析，记录，必要时进行拍照、摄像等；善后处理；与110、120、119报警联络；社会救援人员的接待、车辆的引导；及时向指挥部领导汇报救援情况等。</w:t>
      </w:r>
    </w:p>
    <w:p>
      <w:pPr>
        <w:widowControl/>
        <w:snapToGrid w:val="0"/>
        <w:spacing w:line="360" w:lineRule="auto"/>
        <w:ind w:firstLine="480" w:firstLineChars="200"/>
        <w:rPr>
          <w:rFonts w:ascii="仿宋" w:hAnsi="仿宋" w:eastAsia="仿宋"/>
          <w:kern w:val="11"/>
          <w:sz w:val="24"/>
          <w:szCs w:val="24"/>
        </w:rPr>
      </w:pPr>
      <w:r>
        <w:rPr>
          <w:rFonts w:hint="eastAsia" w:ascii="仿宋" w:hAnsi="仿宋" w:eastAsia="仿宋"/>
          <w:kern w:val="11"/>
          <w:sz w:val="24"/>
          <w:szCs w:val="24"/>
        </w:rPr>
        <w:br w:type="page"/>
      </w:r>
    </w:p>
    <w:bookmarkEnd w:id="66"/>
    <w:p>
      <w:pPr>
        <w:snapToGrid w:val="0"/>
        <w:spacing w:line="360" w:lineRule="auto"/>
        <w:jc w:val="center"/>
        <w:outlineLvl w:val="0"/>
        <w:rPr>
          <w:rFonts w:ascii="仿宋_GB2312" w:hAnsi="华文细黑" w:eastAsia="仿宋_GB2312"/>
          <w:b/>
          <w:sz w:val="28"/>
          <w:szCs w:val="28"/>
        </w:rPr>
      </w:pPr>
      <w:bookmarkStart w:id="81" w:name="_Toc410289779"/>
      <w:bookmarkStart w:id="82" w:name="_Toc224965876"/>
      <w:bookmarkStart w:id="83" w:name="_Toc225244057"/>
      <w:bookmarkStart w:id="84" w:name="_Toc23493"/>
      <w:r>
        <w:rPr>
          <w:rFonts w:hint="eastAsia" w:ascii="仿宋_GB2312" w:hAnsi="华文细黑" w:eastAsia="仿宋_GB2312"/>
          <w:b/>
          <w:sz w:val="32"/>
          <w:szCs w:val="32"/>
        </w:rPr>
        <w:t>5 预防与预警</w:t>
      </w:r>
      <w:bookmarkEnd w:id="81"/>
      <w:bookmarkEnd w:id="82"/>
      <w:bookmarkEnd w:id="83"/>
      <w:r>
        <w:rPr>
          <w:rFonts w:hint="eastAsia" w:ascii="仿宋_GB2312" w:hAnsi="华文细黑" w:eastAsia="仿宋_GB2312"/>
          <w:b/>
          <w:sz w:val="32"/>
          <w:szCs w:val="32"/>
        </w:rPr>
        <w:t>机制</w:t>
      </w:r>
      <w:bookmarkEnd w:id="84"/>
    </w:p>
    <w:p>
      <w:pPr>
        <w:snapToGrid w:val="0"/>
        <w:spacing w:line="360" w:lineRule="auto"/>
        <w:outlineLvl w:val="1"/>
        <w:rPr>
          <w:rFonts w:ascii="仿宋_GB2312" w:hAnsi="华文细黑" w:eastAsia="仿宋_GB2312"/>
          <w:sz w:val="28"/>
          <w:szCs w:val="28"/>
        </w:rPr>
      </w:pPr>
      <w:bookmarkStart w:id="85" w:name="_Toc20181"/>
      <w:bookmarkStart w:id="86" w:name="_Toc410289780"/>
      <w:bookmarkStart w:id="87" w:name="_Toc224965877"/>
      <w:bookmarkStart w:id="88" w:name="_Toc225244058"/>
      <w:r>
        <w:rPr>
          <w:rFonts w:hint="eastAsia" w:ascii="仿宋_GB2312" w:hAnsi="华文细黑" w:eastAsia="仿宋_GB2312"/>
          <w:sz w:val="28"/>
          <w:szCs w:val="28"/>
        </w:rPr>
        <w:t>5.1环境风险源监控</w:t>
      </w:r>
      <w:bookmarkEnd w:id="85"/>
    </w:p>
    <w:bookmarkEnd w:id="86"/>
    <w:bookmarkEnd w:id="87"/>
    <w:bookmarkEnd w:id="88"/>
    <w:p>
      <w:pPr>
        <w:tabs>
          <w:tab w:val="left" w:pos="0"/>
        </w:tabs>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本公司环境风险源的监控方式为：</w:t>
      </w:r>
      <w:r>
        <w:rPr>
          <w:rFonts w:hint="eastAsia" w:ascii="仿宋" w:hAnsi="仿宋" w:eastAsia="仿宋" w:cs="仿宋"/>
          <w:bCs/>
          <w:sz w:val="24"/>
          <w:szCs w:val="24"/>
        </w:rPr>
        <w:t>项目自控系统采用DCS集散型控制系统，重要的工艺参数引至控制室进行集中显示、记录、报警和控制，次要的或不需要频繁操作的工艺过程参数则采用现场巡视的操作方式，尾气处理工艺的工艺过程参数采用现场巡视的操作方式</w:t>
      </w:r>
      <w:r>
        <w:rPr>
          <w:rFonts w:hint="eastAsia" w:ascii="仿宋" w:hAnsi="仿宋" w:eastAsia="仿宋" w:cs="仿宋"/>
          <w:kern w:val="11"/>
          <w:sz w:val="24"/>
          <w:szCs w:val="24"/>
        </w:rPr>
        <w:t>。</w:t>
      </w:r>
      <w:r>
        <w:rPr>
          <w:rFonts w:hint="eastAsia" w:ascii="仿宋" w:hAnsi="仿宋" w:eastAsia="仿宋" w:cs="仿宋"/>
          <w:sz w:val="24"/>
          <w:szCs w:val="24"/>
        </w:rPr>
        <w:t>本项目中硝化反应、氯化反应和加氢还原反应属于重点监管的危险化工工艺，同时设计、安装和使用相应的自动化控制及安全联锁装置。</w:t>
      </w:r>
    </w:p>
    <w:p>
      <w:pPr>
        <w:pStyle w:val="3"/>
        <w:snapToGrid w:val="0"/>
        <w:spacing w:before="0" w:after="0" w:line="360" w:lineRule="auto"/>
        <w:rPr>
          <w:rFonts w:ascii="仿宋_GB2312" w:hAnsi="华文细黑" w:eastAsia="仿宋_GB2312"/>
          <w:kern w:val="11"/>
          <w:szCs w:val="28"/>
        </w:rPr>
      </w:pPr>
      <w:bookmarkStart w:id="89" w:name="_Toc27163"/>
      <w:bookmarkStart w:id="90" w:name="_Toc425149556"/>
      <w:bookmarkStart w:id="91" w:name="_Toc457995424"/>
      <w:r>
        <w:rPr>
          <w:rFonts w:hint="eastAsia" w:ascii="仿宋" w:hAnsi="仿宋" w:eastAsia="仿宋" w:cs="仿宋"/>
          <w:b w:val="0"/>
          <w:bCs/>
          <w:sz w:val="28"/>
          <w:szCs w:val="28"/>
        </w:rPr>
        <w:t>5.2环境风险源防范措施</w:t>
      </w:r>
      <w:bookmarkEnd w:id="89"/>
      <w:bookmarkEnd w:id="90"/>
      <w:bookmarkEnd w:id="91"/>
    </w:p>
    <w:p>
      <w:pPr>
        <w:pStyle w:val="4"/>
        <w:snapToGrid w:val="0"/>
        <w:spacing w:before="0" w:after="0" w:line="360" w:lineRule="auto"/>
        <w:rPr>
          <w:rFonts w:ascii="仿宋_GB2312" w:hAnsi="华文细黑" w:eastAsia="仿宋_GB2312"/>
          <w:kern w:val="11"/>
          <w:szCs w:val="28"/>
        </w:rPr>
      </w:pPr>
      <w:bookmarkStart w:id="92" w:name="_Toc11541"/>
      <w:r>
        <w:rPr>
          <w:rFonts w:hint="eastAsia" w:ascii="仿宋" w:hAnsi="仿宋" w:eastAsia="仿宋" w:cs="仿宋"/>
          <w:b w:val="0"/>
          <w:bCs/>
          <w:sz w:val="28"/>
          <w:szCs w:val="28"/>
        </w:rPr>
        <w:t>5.2.1储罐区风险防范措施</w:t>
      </w:r>
      <w:bookmarkEnd w:id="92"/>
    </w:p>
    <w:p>
      <w:pPr>
        <w:widowControl/>
        <w:numPr>
          <w:ilvl w:val="0"/>
          <w:numId w:val="3"/>
        </w:numPr>
        <w:snapToGrid w:val="0"/>
        <w:spacing w:line="360" w:lineRule="auto"/>
        <w:ind w:firstLine="512" w:firstLineChars="200"/>
        <w:rPr>
          <w:rFonts w:ascii="仿宋_GB2312" w:hAnsi="仿宋" w:eastAsia="仿宋_GB2312" w:cs="仿宋"/>
          <w:spacing w:val="8"/>
          <w:sz w:val="24"/>
          <w:szCs w:val="24"/>
        </w:rPr>
      </w:pPr>
      <w:r>
        <w:rPr>
          <w:rFonts w:hint="eastAsia" w:ascii="仿宋_GB2312" w:hAnsi="仿宋" w:eastAsia="仿宋_GB2312" w:cs="仿宋"/>
          <w:spacing w:val="8"/>
          <w:sz w:val="24"/>
          <w:szCs w:val="24"/>
        </w:rPr>
        <w:t>甲类罐区和中间罐区四周均建设1m</w:t>
      </w:r>
      <w:r>
        <w:rPr>
          <w:rFonts w:hint="eastAsia" w:ascii="仿宋_GB2312" w:eastAsia="仿宋_GB2312"/>
          <w:color w:val="000000"/>
          <w:sz w:val="24"/>
          <w:szCs w:val="24"/>
        </w:rPr>
        <w:t>高不燃烧体防火堤，并</w:t>
      </w:r>
      <w:r>
        <w:rPr>
          <w:rFonts w:hint="eastAsia" w:ascii="仿宋_GB2312" w:hAnsi="仿宋" w:eastAsia="仿宋_GB2312" w:cs="仿宋"/>
          <w:spacing w:val="8"/>
          <w:sz w:val="24"/>
          <w:szCs w:val="24"/>
        </w:rPr>
        <w:t>对罐体地面采用严格防渗，</w:t>
      </w:r>
      <w:r>
        <w:rPr>
          <w:rFonts w:hint="eastAsia" w:ascii="仿宋_GB2312" w:eastAsia="仿宋_GB2312"/>
          <w:color w:val="000000"/>
          <w:sz w:val="24"/>
          <w:szCs w:val="24"/>
        </w:rPr>
        <w:t>防火堤的有效容积大于最大储罐的容量；</w:t>
      </w:r>
      <w:r>
        <w:rPr>
          <w:rFonts w:hint="eastAsia" w:ascii="仿宋_GB2312" w:hAnsi="仿宋" w:eastAsia="仿宋_GB2312" w:cs="仿宋"/>
          <w:spacing w:val="8"/>
          <w:sz w:val="24"/>
          <w:szCs w:val="24"/>
        </w:rPr>
        <w:t>罐区的排水管道出口设置阀门井进行切换，使事故污水和污染的初期雨水通过污水管道自流进入厂区事故水池收集，再送入厂区北部的污水处理装置区进行处理，然后再排放，确保发生事故时，泄漏的化学品及灭火时产生的废水可被收集处理，不会通过渗透和地表径流污染地下水和地表水。</w:t>
      </w:r>
    </w:p>
    <w:p>
      <w:pPr>
        <w:widowControl/>
        <w:numPr>
          <w:ilvl w:val="0"/>
          <w:numId w:val="3"/>
        </w:numPr>
        <w:snapToGrid w:val="0"/>
        <w:spacing w:line="360" w:lineRule="auto"/>
        <w:ind w:firstLine="512" w:firstLineChars="200"/>
        <w:rPr>
          <w:rFonts w:ascii="仿宋_GB2312" w:hAnsi="Times New Roman" w:eastAsia="仿宋_GB2312"/>
          <w:bCs/>
          <w:sz w:val="24"/>
          <w:szCs w:val="24"/>
        </w:rPr>
      </w:pPr>
      <w:r>
        <w:rPr>
          <w:rFonts w:hint="eastAsia" w:ascii="仿宋_GB2312" w:hAnsi="仿宋" w:eastAsia="仿宋_GB2312" w:cs="仿宋"/>
          <w:spacing w:val="8"/>
          <w:sz w:val="24"/>
          <w:szCs w:val="24"/>
        </w:rPr>
        <w:t>所有储罐均加装呼吸阀和水喷淋装置，并在呼吸阀上加装回收设施，在储罐大小呼吸时，用低压引风机抽集罐内挥发的气体，引至罐区的水吸收装置，可有效控制罐区无组织排放的废气满足《大气污染物综合排放标准》中的无组织排放监控浓度限值；</w:t>
      </w:r>
    </w:p>
    <w:p>
      <w:pPr>
        <w:widowControl/>
        <w:numPr>
          <w:ilvl w:val="0"/>
          <w:numId w:val="3"/>
        </w:numPr>
        <w:snapToGrid w:val="0"/>
        <w:spacing w:line="360" w:lineRule="auto"/>
        <w:ind w:firstLine="512" w:firstLineChars="200"/>
        <w:rPr>
          <w:rFonts w:ascii="仿宋_GB2312" w:hAnsi="Times New Roman" w:eastAsia="仿宋_GB2312"/>
          <w:bCs/>
          <w:sz w:val="24"/>
          <w:szCs w:val="24"/>
        </w:rPr>
      </w:pPr>
      <w:r>
        <w:rPr>
          <w:rFonts w:hint="eastAsia" w:ascii="仿宋_GB2312" w:hAnsi="仿宋" w:eastAsia="仿宋_GB2312" w:cs="仿宋"/>
          <w:spacing w:val="8"/>
          <w:sz w:val="24"/>
          <w:szCs w:val="24"/>
        </w:rPr>
        <w:t>罐区安装可燃气体报警仪，当空气中可燃气体浓度超过限值时自动报警，</w:t>
      </w:r>
      <w:r>
        <w:rPr>
          <w:rFonts w:ascii="仿宋_GB2312" w:hAnsi="仿宋" w:eastAsia="仿宋_GB2312" w:cs="仿宋"/>
          <w:spacing w:val="8"/>
          <w:sz w:val="24"/>
          <w:szCs w:val="24"/>
        </w:rPr>
        <w:t>报警信号通过数据采集系统通讯至中控室集中显示报警，</w:t>
      </w:r>
      <w:r>
        <w:rPr>
          <w:rFonts w:hint="eastAsia" w:ascii="仿宋_GB2312" w:hAnsi="仿宋" w:eastAsia="仿宋_GB2312" w:cs="仿宋"/>
          <w:spacing w:val="8"/>
          <w:sz w:val="24"/>
          <w:szCs w:val="24"/>
        </w:rPr>
        <w:t>便于及时预警安防人员，以便于其迅速查找泄漏部位并及时清楚隐患。</w:t>
      </w:r>
    </w:p>
    <w:p>
      <w:pPr>
        <w:pStyle w:val="69"/>
        <w:widowControl/>
        <w:snapToGrid w:val="0"/>
        <w:spacing w:line="360" w:lineRule="auto"/>
        <w:ind w:firstLine="480"/>
        <w:rPr>
          <w:rFonts w:ascii="仿宋" w:hAnsi="仿宋" w:eastAsia="仿宋" w:cs="仿宋"/>
          <w:color w:val="000000"/>
          <w:kern w:val="2"/>
          <w:sz w:val="24"/>
          <w:szCs w:val="24"/>
          <w:lang w:val="zh-CN"/>
        </w:rPr>
      </w:pPr>
      <w:r>
        <w:rPr>
          <w:rFonts w:hint="eastAsia" w:ascii="仿宋" w:hAnsi="仿宋" w:eastAsia="仿宋" w:cs="仿宋"/>
          <w:color w:val="000000"/>
          <w:kern w:val="2"/>
          <w:sz w:val="24"/>
          <w:szCs w:val="24"/>
          <w:lang w:val="zh-CN"/>
        </w:rPr>
        <w:t>（</w:t>
      </w:r>
      <w:r>
        <w:rPr>
          <w:rFonts w:hint="eastAsia" w:ascii="仿宋" w:hAnsi="仿宋" w:eastAsia="仿宋" w:cs="仿宋"/>
          <w:color w:val="000000"/>
          <w:kern w:val="2"/>
          <w:sz w:val="24"/>
          <w:szCs w:val="24"/>
        </w:rPr>
        <w:t>4</w:t>
      </w:r>
      <w:r>
        <w:rPr>
          <w:rFonts w:hint="eastAsia" w:ascii="仿宋" w:hAnsi="仿宋" w:eastAsia="仿宋" w:cs="仿宋"/>
          <w:color w:val="000000"/>
          <w:kern w:val="2"/>
          <w:sz w:val="24"/>
          <w:szCs w:val="24"/>
          <w:lang w:val="zh-CN"/>
        </w:rPr>
        <w:t>）储存场所严格控制火源，严禁吸烟和动用明火。</w:t>
      </w:r>
    </w:p>
    <w:p>
      <w:pPr>
        <w:pStyle w:val="4"/>
        <w:snapToGrid w:val="0"/>
        <w:spacing w:before="0" w:after="0" w:line="360" w:lineRule="auto"/>
        <w:rPr>
          <w:rFonts w:ascii="仿宋_GB2312" w:hAnsi="华文细黑" w:eastAsia="仿宋_GB2312"/>
          <w:kern w:val="11"/>
          <w:szCs w:val="28"/>
        </w:rPr>
      </w:pPr>
      <w:bookmarkStart w:id="93" w:name="_Toc3894"/>
      <w:r>
        <w:rPr>
          <w:rFonts w:hint="eastAsia" w:ascii="仿宋" w:hAnsi="仿宋" w:eastAsia="仿宋" w:cs="仿宋"/>
          <w:b w:val="0"/>
          <w:bCs/>
          <w:sz w:val="28"/>
          <w:szCs w:val="28"/>
        </w:rPr>
        <w:t>5.2.2生产设施风险防范措施</w:t>
      </w:r>
      <w:bookmarkEnd w:id="93"/>
    </w:p>
    <w:p>
      <w:pPr>
        <w:numPr>
          <w:ilvl w:val="0"/>
          <w:numId w:val="4"/>
        </w:numPr>
        <w:snapToGrid w:val="0"/>
        <w:spacing w:line="360" w:lineRule="auto"/>
        <w:ind w:firstLine="512" w:firstLineChars="200"/>
        <w:rPr>
          <w:rFonts w:ascii="仿宋_GB2312" w:hAnsi="Times New Roman" w:eastAsia="仿宋_GB2312"/>
          <w:sz w:val="24"/>
          <w:szCs w:val="24"/>
        </w:rPr>
      </w:pPr>
      <w:r>
        <w:rPr>
          <w:rFonts w:hint="eastAsia" w:ascii="仿宋_GB2312" w:hAnsi="仿宋" w:eastAsia="仿宋_GB2312" w:cs="仿宋"/>
          <w:spacing w:val="8"/>
          <w:sz w:val="24"/>
          <w:szCs w:val="24"/>
        </w:rPr>
        <w:t>生产车间内为防止物料腐蚀，装置内地面采用防腐地面设计，装置的构筑物及设备基础、柱脚采用防腐处理。项目区内采取防腐、防渗措施，能存在物料散漏的各接头点如发生物料散漏，将会落于采取了防腐、防渗措施的地面上，然后汇入车间内的事故排水井，通过自流的方式进入厂区北部的事故水池，然后进入厂区污水处理站。</w:t>
      </w:r>
    </w:p>
    <w:p>
      <w:pPr>
        <w:numPr>
          <w:ilvl w:val="0"/>
          <w:numId w:val="4"/>
        </w:numPr>
        <w:snapToGrid w:val="0"/>
        <w:spacing w:line="360" w:lineRule="auto"/>
        <w:ind w:firstLine="512" w:firstLineChars="200"/>
        <w:rPr>
          <w:rFonts w:ascii="仿宋_GB2312" w:hAnsi="Times New Roman" w:eastAsia="仿宋_GB2312"/>
          <w:sz w:val="24"/>
          <w:szCs w:val="24"/>
        </w:rPr>
      </w:pPr>
      <w:r>
        <w:rPr>
          <w:rFonts w:hint="eastAsia" w:ascii="仿宋_GB2312" w:hAnsi="仿宋" w:eastAsia="仿宋_GB2312" w:cs="仿宋"/>
          <w:spacing w:val="8"/>
          <w:sz w:val="24"/>
          <w:szCs w:val="24"/>
        </w:rPr>
        <w:t>生产车间安装可燃气体报警仪和有毒气体报警仪；液氯间安装有毒气体报警仪；当空气中有害气体或可燃气体浓度超过限值时自动报警，</w:t>
      </w:r>
      <w:r>
        <w:rPr>
          <w:rFonts w:ascii="仿宋_GB2312" w:hAnsi="仿宋" w:eastAsia="仿宋_GB2312" w:cs="仿宋"/>
          <w:spacing w:val="8"/>
          <w:sz w:val="24"/>
          <w:szCs w:val="24"/>
        </w:rPr>
        <w:t>报警信号通过数据采集系统通讯至中控室集中显示报警，</w:t>
      </w:r>
      <w:r>
        <w:rPr>
          <w:rFonts w:hint="eastAsia" w:ascii="仿宋_GB2312" w:hAnsi="仿宋" w:eastAsia="仿宋_GB2312" w:cs="仿宋"/>
          <w:spacing w:val="8"/>
          <w:sz w:val="24"/>
          <w:szCs w:val="24"/>
        </w:rPr>
        <w:t>便于及时预警安防人员，以便于其迅速查找泄漏部位并及时清楚隐患。可燃气体</w:t>
      </w:r>
      <w:r>
        <w:rPr>
          <w:rFonts w:ascii="仿宋_GB2312" w:hAnsi="仿宋" w:eastAsia="仿宋_GB2312" w:cs="仿宋"/>
          <w:spacing w:val="8"/>
          <w:sz w:val="24"/>
          <w:szCs w:val="24"/>
        </w:rPr>
        <w:t>报警仪设置一、二级报警，</w:t>
      </w:r>
      <w:r>
        <w:rPr>
          <w:rFonts w:hint="eastAsia" w:ascii="仿宋_GB2312" w:hAnsi="仿宋" w:eastAsia="仿宋_GB2312" w:cs="仿宋"/>
          <w:spacing w:val="8"/>
          <w:sz w:val="24"/>
          <w:szCs w:val="24"/>
        </w:rPr>
        <w:t>一级报警设定值小于或等于25%爆炸下限，二级报警设定值小于或等于50%爆炸下限。有毒气体的报警设定值宜小于或等于100%最高容许浓度/短时接触容许浓度。</w:t>
      </w:r>
    </w:p>
    <w:p>
      <w:pPr>
        <w:numPr>
          <w:ilvl w:val="0"/>
          <w:numId w:val="4"/>
        </w:numPr>
        <w:snapToGrid w:val="0"/>
        <w:spacing w:line="360" w:lineRule="auto"/>
        <w:ind w:firstLine="512" w:firstLineChars="200"/>
        <w:rPr>
          <w:rFonts w:ascii="仿宋_GB2312" w:hAnsi="Times New Roman" w:eastAsia="仿宋_GB2312"/>
          <w:sz w:val="24"/>
          <w:szCs w:val="24"/>
        </w:rPr>
      </w:pPr>
      <w:r>
        <w:rPr>
          <w:rFonts w:hint="eastAsia" w:ascii="仿宋_GB2312" w:hAnsi="仿宋" w:eastAsia="仿宋_GB2312" w:cs="仿宋"/>
          <w:spacing w:val="8"/>
          <w:sz w:val="24"/>
          <w:szCs w:val="24"/>
        </w:rPr>
        <w:t>车间生产装置采用DCS控制系统，选用安全可靠的仪表、联锁控制系统，配备必要的有毒有害、易燃易爆气体泄漏检测报警系统和火灾报警系统。</w:t>
      </w:r>
    </w:p>
    <w:p>
      <w:pPr>
        <w:numPr>
          <w:ilvl w:val="0"/>
          <w:numId w:val="4"/>
        </w:numPr>
        <w:snapToGrid w:val="0"/>
        <w:spacing w:line="360" w:lineRule="auto"/>
        <w:ind w:firstLine="512" w:firstLineChars="200"/>
        <w:rPr>
          <w:rFonts w:ascii="仿宋_GB2312" w:hAnsi="Times New Roman" w:eastAsia="仿宋_GB2312"/>
          <w:sz w:val="24"/>
          <w:szCs w:val="24"/>
        </w:rPr>
      </w:pPr>
      <w:r>
        <w:rPr>
          <w:rFonts w:hint="eastAsia" w:ascii="仿宋_GB2312" w:hAnsi="仿宋" w:eastAsia="仿宋_GB2312" w:cs="仿宋"/>
          <w:spacing w:val="8"/>
          <w:sz w:val="24"/>
          <w:szCs w:val="24"/>
        </w:rPr>
        <w:t>火灾报警控制器安装在控制室内，采用总线制智能火灾报警系统，总容量不少于</w:t>
      </w:r>
      <w:r>
        <w:rPr>
          <w:rFonts w:ascii="仿宋_GB2312" w:hAnsi="仿宋" w:eastAsia="仿宋_GB2312" w:cs="仿宋"/>
          <w:spacing w:val="8"/>
          <w:sz w:val="24"/>
          <w:szCs w:val="24"/>
        </w:rPr>
        <w:t>128</w:t>
      </w:r>
      <w:r>
        <w:rPr>
          <w:rFonts w:hint="eastAsia" w:ascii="仿宋_GB2312" w:hAnsi="仿宋" w:eastAsia="仿宋_GB2312" w:cs="仿宋"/>
          <w:spacing w:val="8"/>
          <w:sz w:val="24"/>
          <w:szCs w:val="24"/>
        </w:rPr>
        <w:t>点。设手动报警按钮，声光报警器安装在控制室内。当探测器被触发或报警按钮被按下后，火灾报警控制器立即启动声光讯响器和警铃报警。值班人员接警并确认后，应立即使用专用直线电话拨打“</w:t>
      </w:r>
      <w:r>
        <w:rPr>
          <w:rFonts w:ascii="仿宋_GB2312" w:hAnsi="仿宋" w:eastAsia="仿宋_GB2312" w:cs="仿宋"/>
          <w:spacing w:val="8"/>
          <w:sz w:val="24"/>
          <w:szCs w:val="24"/>
        </w:rPr>
        <w:t>119</w:t>
      </w:r>
      <w:r>
        <w:rPr>
          <w:rFonts w:hint="eastAsia" w:ascii="仿宋_GB2312" w:hAnsi="仿宋" w:eastAsia="仿宋_GB2312" w:cs="仿宋"/>
          <w:spacing w:val="8"/>
          <w:sz w:val="24"/>
          <w:szCs w:val="24"/>
        </w:rPr>
        <w:t>”向当地消防部门报警。平时火警控制器采用</w:t>
      </w:r>
      <w:r>
        <w:rPr>
          <w:rFonts w:ascii="仿宋_GB2312" w:hAnsi="仿宋" w:eastAsia="仿宋_GB2312" w:cs="仿宋"/>
          <w:spacing w:val="8"/>
          <w:sz w:val="24"/>
          <w:szCs w:val="24"/>
        </w:rPr>
        <w:t>220V/50H</w:t>
      </w:r>
      <w:r>
        <w:rPr>
          <w:rFonts w:hint="eastAsia" w:ascii="仿宋_GB2312" w:hAnsi="仿宋" w:eastAsia="仿宋_GB2312" w:cs="仿宋"/>
          <w:spacing w:val="8"/>
          <w:sz w:val="24"/>
          <w:szCs w:val="24"/>
        </w:rPr>
        <w:t>z交流供电，当交流供电中断时采用备用电池供电。电池容量应能保证系统能持续正常工作</w:t>
      </w:r>
      <w:r>
        <w:rPr>
          <w:rFonts w:ascii="仿宋_GB2312" w:hAnsi="仿宋" w:eastAsia="仿宋_GB2312" w:cs="仿宋"/>
          <w:spacing w:val="8"/>
          <w:sz w:val="24"/>
          <w:szCs w:val="24"/>
        </w:rPr>
        <w:t>4</w:t>
      </w:r>
      <w:r>
        <w:rPr>
          <w:rFonts w:hint="eastAsia" w:ascii="仿宋_GB2312" w:hAnsi="仿宋" w:eastAsia="仿宋_GB2312" w:cs="仿宋"/>
          <w:spacing w:val="8"/>
          <w:sz w:val="24"/>
          <w:szCs w:val="24"/>
        </w:rPr>
        <w:t>小时以上。火灾自动报警系统的保护接地采用电气保护接地。</w:t>
      </w:r>
    </w:p>
    <w:p>
      <w:pPr>
        <w:numPr>
          <w:ilvl w:val="0"/>
          <w:numId w:val="4"/>
        </w:numPr>
        <w:snapToGrid w:val="0"/>
        <w:spacing w:line="360" w:lineRule="auto"/>
        <w:ind w:firstLine="512" w:firstLineChars="200"/>
        <w:rPr>
          <w:rFonts w:ascii="仿宋_GB2312" w:hAnsi="Times New Roman" w:eastAsia="仿宋_GB2312"/>
          <w:sz w:val="24"/>
          <w:szCs w:val="24"/>
        </w:rPr>
      </w:pPr>
      <w:r>
        <w:rPr>
          <w:rFonts w:hint="eastAsia" w:ascii="仿宋_GB2312" w:hAnsi="仿宋" w:eastAsia="仿宋_GB2312" w:cs="仿宋"/>
          <w:spacing w:val="8"/>
          <w:sz w:val="24"/>
          <w:szCs w:val="24"/>
        </w:rPr>
        <w:t>火灾报警系统电缆采用</w:t>
      </w:r>
      <w:r>
        <w:rPr>
          <w:rFonts w:ascii="仿宋_GB2312" w:hAnsi="仿宋" w:eastAsia="仿宋_GB2312" w:cs="仿宋"/>
          <w:spacing w:val="8"/>
          <w:sz w:val="24"/>
          <w:szCs w:val="24"/>
        </w:rPr>
        <w:t>ZR-KVVP22</w:t>
      </w:r>
      <w:r>
        <w:rPr>
          <w:rFonts w:hint="eastAsia" w:ascii="仿宋_GB2312" w:hAnsi="仿宋" w:eastAsia="仿宋_GB2312" w:cs="仿宋"/>
          <w:spacing w:val="8"/>
          <w:sz w:val="24"/>
          <w:szCs w:val="24"/>
        </w:rPr>
        <w:t>型聚氯乙烯绝缘钢带铠装控制电缆，建筑物内信号线采用铜芯聚氯乙烯绝缘阻燃型双绞线</w:t>
      </w:r>
      <w:r>
        <w:rPr>
          <w:rFonts w:ascii="仿宋_GB2312" w:hAnsi="仿宋" w:eastAsia="仿宋_GB2312" w:cs="仿宋"/>
          <w:spacing w:val="8"/>
          <w:sz w:val="24"/>
          <w:szCs w:val="24"/>
        </w:rPr>
        <w:t>ZR-RVS</w:t>
      </w:r>
      <w:r>
        <w:rPr>
          <w:rFonts w:hint="eastAsia" w:ascii="仿宋_GB2312" w:hAnsi="仿宋" w:eastAsia="仿宋_GB2312" w:cs="仿宋"/>
          <w:spacing w:val="8"/>
          <w:sz w:val="24"/>
          <w:szCs w:val="24"/>
        </w:rPr>
        <w:t>-</w:t>
      </w:r>
      <w:r>
        <w:rPr>
          <w:rFonts w:ascii="仿宋_GB2312" w:hAnsi="仿宋" w:eastAsia="仿宋_GB2312" w:cs="仿宋"/>
          <w:spacing w:val="8"/>
          <w:sz w:val="24"/>
          <w:szCs w:val="24"/>
        </w:rPr>
        <w:t>2×1.5mm2</w:t>
      </w:r>
      <w:r>
        <w:rPr>
          <w:rFonts w:hint="eastAsia" w:ascii="仿宋_GB2312" w:hAnsi="仿宋" w:eastAsia="仿宋_GB2312" w:cs="仿宋"/>
          <w:spacing w:val="8"/>
          <w:sz w:val="24"/>
          <w:szCs w:val="24"/>
        </w:rPr>
        <w:t>。</w:t>
      </w:r>
    </w:p>
    <w:p>
      <w:pPr>
        <w:pStyle w:val="77"/>
        <w:numPr>
          <w:ilvl w:val="0"/>
          <w:numId w:val="4"/>
        </w:numPr>
        <w:snapToGrid w:val="0"/>
        <w:spacing w:line="360" w:lineRule="auto"/>
        <w:ind w:firstLineChars="0"/>
        <w:rPr>
          <w:rFonts w:ascii="仿宋_GB2312" w:hAnsi="仿宋" w:eastAsia="仿宋_GB2312" w:cs="仿宋"/>
          <w:spacing w:val="8"/>
          <w:sz w:val="24"/>
          <w:szCs w:val="24"/>
        </w:rPr>
      </w:pPr>
      <w:r>
        <w:rPr>
          <w:rFonts w:hint="eastAsia" w:ascii="仿宋_GB2312" w:hAnsi="仿宋" w:eastAsia="仿宋_GB2312" w:cs="仿宋"/>
          <w:spacing w:val="8"/>
          <w:sz w:val="24"/>
          <w:szCs w:val="24"/>
        </w:rPr>
        <w:t>间硝基苯甲酸的生产和2，6-二氯-4-氨基苯酚的生产中均涉及到硝化反应。在硝化反应釜（R1001ABC）和（R3002ABCD）上均设置压力指示报警仪表（PIA）、温度指示控制报警联锁仪表（TICAS）与电流指示报警联锁仪表（IIAS）。通过TICAS控制调节冷却水调节阀和硝酸进料阀的开度使反应温度在合适的温度范围内。同时将温度和电流与硝酸进料阀进行联锁，当釜内超温或者搅拌异常时切断硝酸进料。</w:t>
      </w:r>
    </w:p>
    <w:p>
      <w:pPr>
        <w:pStyle w:val="77"/>
        <w:numPr>
          <w:ilvl w:val="0"/>
          <w:numId w:val="4"/>
        </w:numPr>
        <w:snapToGrid w:val="0"/>
        <w:spacing w:line="360" w:lineRule="auto"/>
        <w:ind w:firstLineChars="0"/>
        <w:rPr>
          <w:rFonts w:ascii="仿宋_GB2312" w:hAnsi="仿宋" w:eastAsia="仿宋_GB2312" w:cs="仿宋"/>
          <w:spacing w:val="8"/>
          <w:sz w:val="24"/>
          <w:szCs w:val="24"/>
        </w:rPr>
      </w:pPr>
      <w:r>
        <w:rPr>
          <w:rFonts w:hint="eastAsia" w:ascii="仿宋_GB2312" w:hAnsi="仿宋" w:eastAsia="仿宋_GB2312" w:cs="仿宋"/>
          <w:spacing w:val="8"/>
          <w:sz w:val="24"/>
          <w:szCs w:val="24"/>
        </w:rPr>
        <w:t>邻氨基苯磺酰-N-乙基苯胺的生产中涉及到氯化反应。液氯汽化：液氯经汽化器汽化后，经缓冲罐通入氯化反应釜。在液氯汽化器（E4001）上设置温度指示控制报警连锁仪表（TICAS），氯气缓冲罐上设置压力指示控制报警连锁仪表（PICAS），将液氯汽化温度与热水进水阀、氯气缓冲罐压力与汽化后氯气进料阀进行连锁，当液氯气化温度超温或氯气缓冲罐超压，及时切断氯气进料。氯化反应：在氯化反应釜（R4001AB）上设置压力指示报警仪表（PIA）、温度指示控制报警联锁仪表（TICAS）与电流指示报警联锁仪表（IIAS）。通过TICAS控制调节冷却水调节阀和氯气进料阀的开度使反应温度在合适的温度范围内。同时将温度和电流与氯气的进料阀进行联锁，当釜内超温或者搅拌异常时切断氯气进料。</w:t>
      </w:r>
    </w:p>
    <w:p>
      <w:pPr>
        <w:pStyle w:val="77"/>
        <w:numPr>
          <w:ilvl w:val="0"/>
          <w:numId w:val="4"/>
        </w:numPr>
        <w:snapToGrid w:val="0"/>
        <w:spacing w:line="360" w:lineRule="auto"/>
        <w:ind w:firstLineChars="0"/>
        <w:rPr>
          <w:rFonts w:ascii="仿宋_GB2312" w:hAnsi="仿宋" w:eastAsia="仿宋_GB2312" w:cs="仿宋"/>
          <w:spacing w:val="8"/>
          <w:sz w:val="24"/>
          <w:szCs w:val="24"/>
        </w:rPr>
      </w:pPr>
      <w:r>
        <w:rPr>
          <w:rFonts w:hint="eastAsia" w:ascii="仿宋_GB2312" w:hAnsi="仿宋" w:eastAsia="仿宋_GB2312" w:cs="仿宋"/>
          <w:spacing w:val="8"/>
          <w:sz w:val="24"/>
          <w:szCs w:val="24"/>
        </w:rPr>
        <w:t>2，6-二氯-4-氨基苯酚的生产和邻氨基苯磺酰-N-乙基苯胺的生产中均涉及到加氢还原反应。氢气自界外管网，通过氢气缓冲罐通入加氢还原工序，氢气缓冲罐上设置压力显示报警仪表和安全阀用于氢气的安全使用。在还原反应釜（R3006）和（R4004）上均设置压力指示控制报警联锁仪表（PIAS）、温度指示控制报警联锁仪表（TICAS）与电流指示报警联锁仪表（IIAS）。通过TICAS控制调节冷却水调节阀的开度使反应温度在合适的温度范围内。同时将温度、压力和电流与氢气进料阀和冷却水调节阀进行联锁，当釜内超温、压力过高或者搅拌异常时将冷却水阀门全开，并切断氢气进料。</w:t>
      </w:r>
    </w:p>
    <w:p>
      <w:pPr>
        <w:pStyle w:val="77"/>
        <w:numPr>
          <w:ilvl w:val="0"/>
          <w:numId w:val="4"/>
        </w:numPr>
        <w:snapToGrid w:val="0"/>
        <w:spacing w:line="360" w:lineRule="auto"/>
        <w:ind w:firstLineChars="0"/>
        <w:rPr>
          <w:rFonts w:ascii="仿宋_GB2312" w:hAnsi="仿宋" w:eastAsia="仿宋_GB2312" w:cs="仿宋"/>
          <w:spacing w:val="8"/>
          <w:sz w:val="24"/>
          <w:szCs w:val="24"/>
        </w:rPr>
      </w:pPr>
      <w:r>
        <w:rPr>
          <w:rFonts w:hint="eastAsia" w:ascii="仿宋_GB2312" w:hAnsi="仿宋" w:eastAsia="仿宋_GB2312" w:cs="仿宋"/>
          <w:spacing w:val="8"/>
          <w:sz w:val="24"/>
          <w:szCs w:val="24"/>
        </w:rPr>
        <w:t>常压蒸馏溶剂的蒸馏釜（R2006，R2012，R2017AB，R3004，R3007，R4005，R8003）顶端设置温度显示控制报警仪表（TICA），液位显示控制报警仪表（LICA），温度与液位、加热介质水蒸气的进料阀形成控制回路，通过调节蒸汽量调节蒸馏温度，温度过高或蒸馏釜液位达到指定液位时切断蒸汽进料。环庚三烯酚酮工艺中减压蒸馏中间体的蒸馏釜（R2007）顶端设置温度显示控制报警仪表（TICA）和压力报警仪表（PIA），将温度表与导热油进料阀形成控制回路，通过调节导热油进料量控制蒸馏温度，温度过高则切断导热油进料，真空度过低时压力报警，防止真空度过低温度升高发生爆炸事故。</w:t>
      </w:r>
    </w:p>
    <w:p>
      <w:pPr>
        <w:pStyle w:val="77"/>
        <w:numPr>
          <w:ilvl w:val="0"/>
          <w:numId w:val="4"/>
        </w:numPr>
        <w:snapToGrid w:val="0"/>
        <w:spacing w:line="360" w:lineRule="auto"/>
        <w:ind w:firstLineChars="0"/>
        <w:rPr>
          <w:rFonts w:ascii="仿宋_GB2312" w:hAnsi="仿宋" w:eastAsia="仿宋_GB2312" w:cs="仿宋"/>
          <w:spacing w:val="8"/>
          <w:sz w:val="24"/>
          <w:szCs w:val="24"/>
        </w:rPr>
      </w:pPr>
      <w:r>
        <w:rPr>
          <w:rFonts w:ascii="仿宋_GB2312" w:hAnsi="仿宋" w:eastAsia="仿宋_GB2312" w:cs="仿宋"/>
          <w:spacing w:val="8"/>
          <w:sz w:val="24"/>
          <w:szCs w:val="24"/>
        </w:rPr>
        <w:t>乙醇储罐设置液位显示报警联锁仪表（LIAS）</w:t>
      </w:r>
      <w:r>
        <w:rPr>
          <w:rFonts w:hint="eastAsia" w:ascii="仿宋_GB2312" w:hAnsi="仿宋" w:eastAsia="仿宋_GB2312" w:cs="仿宋"/>
          <w:spacing w:val="8"/>
          <w:sz w:val="24"/>
          <w:szCs w:val="24"/>
        </w:rPr>
        <w:t>，</w:t>
      </w:r>
      <w:r>
        <w:rPr>
          <w:rFonts w:ascii="仿宋_GB2312" w:hAnsi="仿宋" w:eastAsia="仿宋_GB2312" w:cs="仿宋"/>
          <w:spacing w:val="8"/>
          <w:sz w:val="24"/>
          <w:szCs w:val="24"/>
        </w:rPr>
        <w:t>当液位过高或者过低时联锁切断乙醇输送泵，储罐设置温度计，可用于检测罐内液体温度，减少危险</w:t>
      </w:r>
      <w:r>
        <w:rPr>
          <w:rFonts w:hint="eastAsia" w:ascii="仿宋_GB2312" w:hAnsi="仿宋" w:eastAsia="仿宋_GB2312" w:cs="仿宋"/>
          <w:spacing w:val="8"/>
          <w:sz w:val="24"/>
          <w:szCs w:val="24"/>
        </w:rPr>
        <w:t>。</w:t>
      </w:r>
    </w:p>
    <w:p>
      <w:pPr>
        <w:pStyle w:val="4"/>
        <w:snapToGrid w:val="0"/>
        <w:spacing w:before="0" w:after="0" w:line="360" w:lineRule="auto"/>
        <w:rPr>
          <w:rFonts w:ascii="仿宋_GB2312" w:eastAsia="仿宋_GB2312"/>
          <w:szCs w:val="24"/>
        </w:rPr>
      </w:pPr>
      <w:bookmarkStart w:id="94" w:name="_Toc27482"/>
      <w:r>
        <w:rPr>
          <w:rFonts w:hint="eastAsia" w:ascii="仿宋" w:hAnsi="仿宋" w:eastAsia="仿宋" w:cs="仿宋"/>
          <w:b w:val="0"/>
          <w:bCs/>
          <w:sz w:val="28"/>
          <w:szCs w:val="28"/>
        </w:rPr>
        <w:t>5.2.3危化品仓库风险防范措施</w:t>
      </w:r>
      <w:bookmarkEnd w:id="94"/>
    </w:p>
    <w:p>
      <w:pPr>
        <w:pStyle w:val="19"/>
        <w:widowControl w:val="0"/>
        <w:snapToGrid w:val="0"/>
        <w:spacing w:before="0" w:beforeAutospacing="0" w:after="0" w:afterAutospacing="0" w:line="360" w:lineRule="auto"/>
        <w:ind w:firstLine="480"/>
        <w:jc w:val="both"/>
        <w:rPr>
          <w:rFonts w:ascii="仿宋" w:hAnsi="仿宋" w:eastAsia="仿宋" w:cs="仿宋"/>
        </w:rPr>
      </w:pPr>
      <w:r>
        <w:rPr>
          <w:rFonts w:hint="eastAsia" w:ascii="仿宋" w:hAnsi="仿宋" w:eastAsia="仿宋" w:cs="仿宋"/>
        </w:rPr>
        <w:t>公司设危化品仓库一处，用于储存部分危险化学品。</w:t>
      </w:r>
      <w:r>
        <w:rPr>
          <w:rFonts w:hint="eastAsia" w:ascii="仿宋" w:hAnsi="仿宋" w:eastAsia="仿宋" w:cs="仿宋"/>
          <w:color w:val="000000"/>
        </w:rPr>
        <w:t>仓库地面做到地面防渗、防雨、防晒，并设置了明显标识，避免危化品泄漏对环境产生影响。危化品仓库内设导流渠与收集池，</w:t>
      </w:r>
      <w:r>
        <w:rPr>
          <w:rFonts w:hint="eastAsia" w:ascii="仿宋" w:hAnsi="仿宋" w:eastAsia="仿宋" w:cs="仿宋"/>
        </w:rPr>
        <w:t>仓库周边设废水收集系统，收集系统与事故水池相连。确保发生事故时，泄漏的化学品及灭火时产生的废水可完全被收集处理，不会通过渗透和地表径流污染地下水和地表水。</w:t>
      </w:r>
    </w:p>
    <w:p>
      <w:pPr>
        <w:pStyle w:val="19"/>
        <w:widowControl w:val="0"/>
        <w:snapToGrid w:val="0"/>
        <w:spacing w:before="0" w:beforeAutospacing="0" w:after="0" w:afterAutospacing="0" w:line="360" w:lineRule="auto"/>
        <w:ind w:firstLine="480"/>
        <w:jc w:val="both"/>
        <w:rPr>
          <w:szCs w:val="20"/>
        </w:rPr>
      </w:pPr>
      <w:r>
        <w:rPr>
          <w:rFonts w:hint="eastAsia" w:ascii="仿宋_GB2312" w:hAnsi="仿宋" w:eastAsia="仿宋_GB2312" w:cs="仿宋"/>
          <w:spacing w:val="8"/>
        </w:rPr>
        <w:t>原料仓库安装可燃气体报警仪和有毒气体报警仪；液氯间安装有毒气体报警仪；当空气中有害气体或可燃气体浓度超过限值时自动报警，</w:t>
      </w:r>
      <w:r>
        <w:rPr>
          <w:rFonts w:ascii="仿宋_GB2312" w:hAnsi="仿宋" w:eastAsia="仿宋_GB2312" w:cs="仿宋"/>
          <w:spacing w:val="8"/>
        </w:rPr>
        <w:t>报警信号通过数据采集系统通讯至中控室集中显示报警，</w:t>
      </w:r>
      <w:r>
        <w:rPr>
          <w:rFonts w:hint="eastAsia" w:ascii="仿宋_GB2312" w:hAnsi="仿宋" w:eastAsia="仿宋_GB2312" w:cs="仿宋"/>
          <w:spacing w:val="8"/>
        </w:rPr>
        <w:t>便于及时预警安防人员，以便于其迅速查找泄漏部位并及时清楚隐患。</w:t>
      </w:r>
    </w:p>
    <w:p>
      <w:pPr>
        <w:pStyle w:val="4"/>
        <w:snapToGrid w:val="0"/>
        <w:spacing w:before="0" w:after="0" w:line="360" w:lineRule="auto"/>
        <w:rPr>
          <w:rFonts w:ascii="仿宋_GB2312" w:hAnsi="华文细黑" w:eastAsia="仿宋_GB2312"/>
          <w:kern w:val="11"/>
          <w:szCs w:val="28"/>
        </w:rPr>
      </w:pPr>
      <w:bookmarkStart w:id="95" w:name="_Toc1094"/>
      <w:r>
        <w:rPr>
          <w:rFonts w:hint="eastAsia" w:ascii="仿宋" w:hAnsi="仿宋" w:eastAsia="仿宋" w:cs="仿宋"/>
          <w:b w:val="0"/>
          <w:bCs/>
          <w:sz w:val="28"/>
          <w:szCs w:val="28"/>
        </w:rPr>
        <w:t>5.2.4废水处理设施风险防范措施</w:t>
      </w:r>
      <w:bookmarkEnd w:id="95"/>
    </w:p>
    <w:p>
      <w:pPr>
        <w:snapToGrid w:val="0"/>
        <w:spacing w:line="360" w:lineRule="auto"/>
        <w:ind w:firstLine="480" w:firstLineChars="200"/>
        <w:rPr>
          <w:rFonts w:ascii="仿宋_GB2312" w:hAnsi="Times New Roman" w:eastAsia="仿宋_GB2312"/>
          <w:sz w:val="24"/>
          <w:szCs w:val="24"/>
        </w:rPr>
      </w:pPr>
      <w:r>
        <w:rPr>
          <w:rFonts w:hint="eastAsia" w:ascii="仿宋_GB2312" w:hAnsi="Times New Roman" w:eastAsia="仿宋_GB2312"/>
          <w:sz w:val="24"/>
          <w:szCs w:val="24"/>
        </w:rPr>
        <w:t>厂内容易造成废水事故排放的环节主要有生产过程中生产装置发生故障、污水处理站中污水处理设施故障，废水排放过程中的滴、漏现象。</w:t>
      </w:r>
    </w:p>
    <w:p>
      <w:pPr>
        <w:snapToGrid w:val="0"/>
        <w:spacing w:line="360" w:lineRule="auto"/>
        <w:ind w:firstLine="480" w:firstLineChars="200"/>
        <w:rPr>
          <w:rFonts w:ascii="仿宋_GB2312" w:hAnsi="Times New Roman" w:eastAsia="仿宋_GB2312"/>
          <w:sz w:val="24"/>
          <w:szCs w:val="24"/>
        </w:rPr>
      </w:pPr>
      <w:r>
        <w:rPr>
          <w:rFonts w:hint="eastAsia" w:ascii="仿宋_GB2312" w:hAnsi="Times New Roman" w:eastAsia="仿宋_GB2312"/>
          <w:sz w:val="24"/>
          <w:szCs w:val="24"/>
        </w:rPr>
        <w:t>根据废水产生环节的不同，采用不同的事故废水收集处理方式：本项目为连续生产，当某生产装置发生故障，需要停车维修，先把装置中的物料转至其他设备（如中间罐、空置的反应釜等）中暂存。待设备正常运行后，再继续生产，不增加废水的产生量和浓度。</w:t>
      </w:r>
    </w:p>
    <w:p>
      <w:pPr>
        <w:snapToGrid w:val="0"/>
        <w:spacing w:line="360" w:lineRule="auto"/>
        <w:ind w:firstLine="480" w:firstLineChars="200"/>
        <w:rPr>
          <w:rFonts w:ascii="仿宋_GB2312" w:hAnsi="Times New Roman" w:eastAsia="仿宋_GB2312"/>
          <w:sz w:val="24"/>
          <w:szCs w:val="24"/>
        </w:rPr>
      </w:pPr>
      <w:r>
        <w:rPr>
          <w:rFonts w:hint="eastAsia" w:ascii="仿宋_GB2312" w:eastAsia="仿宋_GB2312"/>
          <w:sz w:val="24"/>
          <w:szCs w:val="24"/>
        </w:rPr>
        <w:t>污水站排水口设控制阀门，外排废水监测不达标，废水流至事故水池返回污水处理站继续处理，不会排放到外环境中。污水处理站主要构筑物发生重大故障时，自动监测仪表可及时报警并停止向外排放废水。本项目设置</w:t>
      </w:r>
      <w:r>
        <w:rPr>
          <w:rFonts w:hint="eastAsia" w:ascii="仿宋" w:hAnsi="仿宋" w:eastAsia="仿宋" w:cs="仿宋"/>
          <w:sz w:val="24"/>
          <w:szCs w:val="24"/>
        </w:rPr>
        <w:t>1370m</w:t>
      </w:r>
      <w:r>
        <w:rPr>
          <w:rFonts w:hint="eastAsia" w:ascii="仿宋" w:hAnsi="仿宋" w:eastAsia="仿宋" w:cs="仿宋"/>
          <w:sz w:val="24"/>
          <w:szCs w:val="24"/>
          <w:vertAlign w:val="superscript"/>
        </w:rPr>
        <w:t>3</w:t>
      </w:r>
      <w:r>
        <w:rPr>
          <w:rFonts w:hint="eastAsia" w:ascii="仿宋_GB2312" w:eastAsia="仿宋_GB2312"/>
          <w:sz w:val="24"/>
          <w:szCs w:val="24"/>
        </w:rPr>
        <w:t>事故水池一个，最大可以储存</w:t>
      </w:r>
      <w:r>
        <w:rPr>
          <w:rFonts w:ascii="仿宋_GB2312" w:eastAsia="仿宋_GB2312"/>
          <w:sz w:val="24"/>
          <w:szCs w:val="24"/>
        </w:rPr>
        <w:t>4h</w:t>
      </w:r>
      <w:r>
        <w:rPr>
          <w:rFonts w:hint="eastAsia" w:ascii="仿宋_GB2312" w:eastAsia="仿宋_GB2312"/>
          <w:sz w:val="24"/>
          <w:szCs w:val="24"/>
        </w:rPr>
        <w:t>的废水量，在事故状态下废水将暂时全部暂存在事故池内，待设备维修后再进行处理。</w:t>
      </w:r>
    </w:p>
    <w:p>
      <w:pPr>
        <w:pStyle w:val="4"/>
        <w:snapToGrid w:val="0"/>
        <w:spacing w:before="0" w:after="0" w:line="360" w:lineRule="auto"/>
        <w:rPr>
          <w:rFonts w:ascii="仿宋" w:hAnsi="仿宋" w:eastAsia="仿宋"/>
          <w:spacing w:val="-2"/>
          <w:szCs w:val="24"/>
        </w:rPr>
      </w:pPr>
      <w:bookmarkStart w:id="96" w:name="_Toc21165"/>
      <w:r>
        <w:rPr>
          <w:rFonts w:hint="eastAsia" w:ascii="仿宋" w:hAnsi="仿宋" w:eastAsia="仿宋" w:cs="仿宋"/>
          <w:b w:val="0"/>
          <w:bCs/>
          <w:sz w:val="28"/>
          <w:szCs w:val="28"/>
        </w:rPr>
        <w:t>5.2.5废气处理设施风险防范措施</w:t>
      </w:r>
      <w:bookmarkEnd w:id="96"/>
    </w:p>
    <w:p>
      <w:pPr>
        <w:snapToGrid w:val="0"/>
        <w:spacing w:line="360" w:lineRule="auto"/>
        <w:ind w:firstLine="480" w:firstLineChars="200"/>
        <w:rPr>
          <w:rFonts w:ascii="仿宋_GB2312" w:hAnsi="华文细黑" w:eastAsia="仿宋_GB2312"/>
          <w:kern w:val="11"/>
          <w:sz w:val="28"/>
          <w:szCs w:val="28"/>
        </w:rPr>
      </w:pPr>
      <w:r>
        <w:rPr>
          <w:rFonts w:hint="eastAsia" w:ascii="仿宋_GB2312" w:eastAsia="仿宋_GB2312"/>
          <w:kern w:val="2"/>
          <w:sz w:val="24"/>
          <w:szCs w:val="24"/>
        </w:rPr>
        <w:t>废气处理设施发生故障，导致生产过程中产生的酸性废气、颗粒物、恶臭等污染物的</w:t>
      </w:r>
      <w:r>
        <w:rPr>
          <w:rFonts w:hint="eastAsia" w:ascii="仿宋_GB2312" w:hAnsi="Times New Roman" w:eastAsia="仿宋_GB2312" w:cs="Times New Roman"/>
          <w:kern w:val="2"/>
          <w:sz w:val="24"/>
          <w:szCs w:val="24"/>
        </w:rPr>
        <w:t>排放浓度和排放速率将超出排放标准，造成区域内环境空气的污染。</w:t>
      </w:r>
      <w:r>
        <w:rPr>
          <w:rFonts w:hint="eastAsia" w:ascii="仿宋_GB2312" w:hAnsi="仿宋" w:eastAsia="仿宋_GB2312" w:cs="Times New Roman"/>
          <w:kern w:val="2"/>
          <w:sz w:val="24"/>
          <w:szCs w:val="24"/>
        </w:rPr>
        <w:t>所以在日常生产过程中，岗位员工必须加强对环保设施的巡检管理，发现异常情况及时与班组长联系，必要情况时生产作业，对处理设施进行维修，处理处理设施安全有效运行后再继续生产。</w:t>
      </w:r>
    </w:p>
    <w:p>
      <w:pPr>
        <w:pStyle w:val="4"/>
        <w:snapToGrid w:val="0"/>
        <w:spacing w:before="0" w:after="0" w:line="360" w:lineRule="auto"/>
        <w:rPr>
          <w:rFonts w:ascii="仿宋_GB2312" w:hAnsi="华文细黑" w:eastAsia="仿宋_GB2312"/>
          <w:kern w:val="11"/>
          <w:szCs w:val="28"/>
        </w:rPr>
      </w:pPr>
      <w:bookmarkStart w:id="97" w:name="_Toc30818"/>
      <w:r>
        <w:rPr>
          <w:rFonts w:hint="eastAsia" w:ascii="仿宋" w:hAnsi="仿宋" w:eastAsia="仿宋" w:cs="仿宋"/>
          <w:b w:val="0"/>
          <w:bCs/>
          <w:sz w:val="28"/>
          <w:szCs w:val="28"/>
        </w:rPr>
        <w:t>5.2.6危险废物储存风险防范措施</w:t>
      </w:r>
      <w:bookmarkEnd w:id="97"/>
    </w:p>
    <w:p>
      <w:pPr>
        <w:snapToGrid w:val="0"/>
        <w:spacing w:line="360" w:lineRule="auto"/>
        <w:ind w:firstLine="472" w:firstLineChars="200"/>
        <w:rPr>
          <w:rFonts w:ascii="仿宋_GB2312" w:hAnsi="宋体" w:eastAsia="仿宋_GB2312"/>
          <w:color w:val="000000"/>
          <w:sz w:val="24"/>
          <w:szCs w:val="24"/>
        </w:rPr>
      </w:pPr>
      <w:r>
        <w:rPr>
          <w:rFonts w:hint="eastAsia" w:ascii="仿宋_GB2312" w:eastAsia="仿宋_GB2312"/>
          <w:spacing w:val="-2"/>
          <w:sz w:val="24"/>
          <w:szCs w:val="24"/>
          <w:lang w:val="zh-CN"/>
        </w:rPr>
        <w:t>公司建设单独的危废库，用于暂存生产过程中产生的残液</w:t>
      </w:r>
      <w:r>
        <w:rPr>
          <w:rFonts w:hint="eastAsia" w:ascii="仿宋_GB2312" w:eastAsia="仿宋_GB2312"/>
          <w:color w:val="000000"/>
          <w:sz w:val="24"/>
          <w:szCs w:val="24"/>
        </w:rPr>
        <w:t>、</w:t>
      </w:r>
      <w:r>
        <w:rPr>
          <w:rFonts w:hint="eastAsia" w:ascii="仿宋_GB2312" w:eastAsia="仿宋_GB2312"/>
          <w:spacing w:val="-2"/>
          <w:sz w:val="24"/>
          <w:szCs w:val="24"/>
          <w:lang w:val="zh-CN"/>
        </w:rPr>
        <w:t>废活性炭</w:t>
      </w:r>
      <w:r>
        <w:rPr>
          <w:rFonts w:hint="eastAsia" w:ascii="仿宋_GB2312" w:eastAsia="仿宋_GB2312"/>
          <w:color w:val="000000"/>
          <w:sz w:val="24"/>
          <w:szCs w:val="24"/>
        </w:rPr>
        <w:t>、</w:t>
      </w:r>
      <w:r>
        <w:rPr>
          <w:rFonts w:hint="eastAsia" w:ascii="仿宋_GB2312" w:hAnsi="华文细黑" w:eastAsia="仿宋_GB2312"/>
          <w:sz w:val="24"/>
          <w:szCs w:val="24"/>
        </w:rPr>
        <w:t>废水处理过程中产生的污泥及颜料生产过程中产生的废包装桶，</w:t>
      </w:r>
      <w:r>
        <w:rPr>
          <w:rFonts w:hint="eastAsia" w:ascii="仿宋_GB2312" w:eastAsia="仿宋_GB2312"/>
          <w:spacing w:val="-2"/>
          <w:sz w:val="24"/>
          <w:szCs w:val="24"/>
          <w:lang w:val="zh-CN"/>
        </w:rPr>
        <w:t>属于固态及半固态。</w:t>
      </w:r>
      <w:r>
        <w:rPr>
          <w:rFonts w:hint="eastAsia" w:ascii="仿宋_GB2312" w:eastAsia="仿宋_GB2312"/>
          <w:color w:val="000000"/>
          <w:sz w:val="24"/>
          <w:szCs w:val="24"/>
        </w:rPr>
        <w:t>危险废物暂存场所做到地面防渗、防雨、防晒，</w:t>
      </w:r>
      <w:r>
        <w:rPr>
          <w:rFonts w:hint="eastAsia" w:ascii="仿宋_GB2312" w:hAnsi="宋体" w:eastAsia="仿宋_GB2312"/>
          <w:color w:val="000000"/>
          <w:sz w:val="24"/>
          <w:szCs w:val="24"/>
        </w:rPr>
        <w:t>并设置了明显标识</w:t>
      </w:r>
      <w:r>
        <w:rPr>
          <w:rFonts w:hint="eastAsia" w:ascii="仿宋_GB2312" w:eastAsia="仿宋_GB2312"/>
          <w:color w:val="000000"/>
          <w:sz w:val="24"/>
          <w:szCs w:val="24"/>
        </w:rPr>
        <w:t>，避免危废暂存对环境产生影响</w:t>
      </w:r>
      <w:r>
        <w:rPr>
          <w:rFonts w:hint="eastAsia" w:ascii="仿宋_GB2312" w:hAnsi="宋体" w:eastAsia="仿宋_GB2312"/>
          <w:color w:val="000000"/>
          <w:sz w:val="24"/>
          <w:szCs w:val="24"/>
        </w:rPr>
        <w:t>。危废库</w:t>
      </w:r>
      <w:r>
        <w:rPr>
          <w:rFonts w:hint="eastAsia" w:ascii="仿宋" w:hAnsi="仿宋" w:eastAsia="仿宋" w:cs="仿宋"/>
          <w:color w:val="000000"/>
          <w:sz w:val="24"/>
          <w:szCs w:val="24"/>
        </w:rPr>
        <w:t>内设导流渠与收集池，与污水处理站收集池相连，危废</w:t>
      </w:r>
      <w:r>
        <w:rPr>
          <w:rFonts w:hint="eastAsia" w:ascii="仿宋_GB2312" w:hAnsi="宋体" w:eastAsia="仿宋_GB2312"/>
          <w:color w:val="000000"/>
          <w:sz w:val="24"/>
          <w:szCs w:val="24"/>
        </w:rPr>
        <w:t>储存过程中产生的渗滤液通过导流渠进入污水站收集池。</w:t>
      </w:r>
    </w:p>
    <w:p>
      <w:pPr>
        <w:pStyle w:val="4"/>
        <w:snapToGrid w:val="0"/>
        <w:spacing w:before="0" w:after="0" w:line="360" w:lineRule="auto"/>
        <w:rPr>
          <w:rFonts w:ascii="仿宋" w:hAnsi="仿宋" w:eastAsia="仿宋" w:cs="仿宋"/>
          <w:szCs w:val="24"/>
        </w:rPr>
      </w:pPr>
      <w:bookmarkStart w:id="98" w:name="_Toc32564"/>
      <w:r>
        <w:rPr>
          <w:rFonts w:hint="eastAsia" w:ascii="仿宋" w:hAnsi="仿宋" w:eastAsia="仿宋" w:cs="仿宋"/>
          <w:b w:val="0"/>
          <w:bCs/>
          <w:sz w:val="28"/>
          <w:szCs w:val="28"/>
        </w:rPr>
        <w:t>5.2.7突发火灾事故风险防范措施</w:t>
      </w:r>
      <w:bookmarkEnd w:id="98"/>
    </w:p>
    <w:p>
      <w:pPr>
        <w:numPr>
          <w:ilvl w:val="0"/>
          <w:numId w:val="5"/>
        </w:numPr>
        <w:snapToGrid w:val="0"/>
        <w:spacing w:line="360" w:lineRule="auto"/>
        <w:ind w:firstLine="480" w:firstLineChars="200"/>
        <w:rPr>
          <w:rFonts w:ascii="仿宋_GB2312" w:hAnsi="仿宋" w:eastAsia="仿宋_GB2312" w:cs="仿宋"/>
          <w:kern w:val="2"/>
          <w:sz w:val="24"/>
          <w:szCs w:val="24"/>
        </w:rPr>
      </w:pPr>
      <w:r>
        <w:rPr>
          <w:rFonts w:hint="eastAsia" w:ascii="仿宋_GB2312" w:hAnsi="仿宋" w:eastAsia="仿宋_GB2312" w:cs="仿宋"/>
          <w:kern w:val="2"/>
          <w:sz w:val="24"/>
          <w:szCs w:val="24"/>
        </w:rPr>
        <w:t>消防系统</w:t>
      </w:r>
    </w:p>
    <w:p>
      <w:pPr>
        <w:snapToGrid w:val="0"/>
        <w:spacing w:line="360" w:lineRule="auto"/>
        <w:ind w:left="480"/>
        <w:rPr>
          <w:rFonts w:ascii="仿宋_GB2312" w:hAnsi="仿宋" w:eastAsia="仿宋_GB2312" w:cs="仿宋"/>
          <w:kern w:val="2"/>
          <w:sz w:val="24"/>
          <w:szCs w:val="24"/>
        </w:rPr>
      </w:pPr>
      <w:r>
        <w:rPr>
          <w:rFonts w:hint="eastAsia" w:ascii="仿宋_GB2312" w:hAnsi="仿宋" w:eastAsia="仿宋_GB2312" w:cs="仿宋"/>
          <w:kern w:val="2"/>
          <w:sz w:val="24"/>
          <w:szCs w:val="24"/>
        </w:rPr>
        <w:t>（1）消防给水</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根据《建筑设计防火规范》（</w:t>
      </w:r>
      <w:r>
        <w:rPr>
          <w:rFonts w:ascii="仿宋_GB2312" w:eastAsia="仿宋_GB2312"/>
          <w:spacing w:val="-2"/>
          <w:sz w:val="24"/>
          <w:szCs w:val="24"/>
          <w:lang w:val="zh-CN"/>
        </w:rPr>
        <w:t>GB50</w:t>
      </w:r>
      <w:r>
        <w:rPr>
          <w:rFonts w:hint="eastAsia" w:ascii="仿宋_GB2312" w:eastAsia="仿宋_GB2312"/>
          <w:spacing w:val="-2"/>
          <w:sz w:val="24"/>
          <w:szCs w:val="24"/>
          <w:lang w:val="zh-CN"/>
        </w:rPr>
        <w:t>0</w:t>
      </w:r>
      <w:r>
        <w:rPr>
          <w:rFonts w:ascii="仿宋_GB2312" w:eastAsia="仿宋_GB2312"/>
          <w:spacing w:val="-2"/>
          <w:sz w:val="24"/>
          <w:szCs w:val="24"/>
          <w:lang w:val="zh-CN"/>
        </w:rPr>
        <w:t>16-</w:t>
      </w:r>
      <w:r>
        <w:rPr>
          <w:rFonts w:hint="eastAsia" w:ascii="仿宋_GB2312" w:eastAsia="仿宋_GB2312"/>
          <w:spacing w:val="-2"/>
          <w:sz w:val="24"/>
          <w:szCs w:val="24"/>
          <w:lang w:val="zh-CN"/>
        </w:rPr>
        <w:t>2006）</w:t>
      </w:r>
      <w:r>
        <w:rPr>
          <w:rFonts w:ascii="仿宋_GB2312" w:eastAsia="仿宋_GB2312"/>
          <w:spacing w:val="-2"/>
          <w:sz w:val="24"/>
          <w:szCs w:val="24"/>
          <w:lang w:val="zh-CN"/>
        </w:rPr>
        <w:t>规定</w:t>
      </w:r>
      <w:r>
        <w:rPr>
          <w:rFonts w:hint="eastAsia" w:ascii="仿宋_GB2312" w:eastAsia="仿宋_GB2312"/>
          <w:spacing w:val="-2"/>
          <w:sz w:val="24"/>
          <w:szCs w:val="24"/>
          <w:lang w:val="zh-CN"/>
        </w:rPr>
        <w:t>，项目区占地面积31988m2（约3.2公顷），小于100公顷，</w:t>
      </w:r>
      <w:r>
        <w:rPr>
          <w:rFonts w:ascii="仿宋_GB2312" w:eastAsia="仿宋_GB2312"/>
          <w:spacing w:val="-2"/>
          <w:sz w:val="24"/>
          <w:szCs w:val="24"/>
          <w:lang w:val="zh-CN"/>
        </w:rPr>
        <w:t>附近居住区人数≤1.5万人。</w:t>
      </w:r>
      <w:r>
        <w:rPr>
          <w:rFonts w:hint="eastAsia" w:ascii="仿宋_GB2312" w:eastAsia="仿宋_GB2312"/>
          <w:spacing w:val="-2"/>
          <w:sz w:val="24"/>
          <w:szCs w:val="24"/>
          <w:lang w:val="zh-CN"/>
        </w:rPr>
        <w:t>同一时间内火灾次数为一次。本项目消防用水量最大的建筑为丙类原料仓库。室外消防用水量为25L/s，室内消防用水量为15L/s，火灾延续时间3h，共需消防水432m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甲类罐区设移动式消防冷却水系统和移动式泡沫灭火系统。移动式消防冷却水系统着火罐冷却水供给强度为0.1L/(s·㎡),邻近罐冷却水供给强度为0.1L/(s·㎡),冷却水用量为22.5L/s,连续供给时间4h,共需消防冷却水324m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。移动式泡沫灭火系统采用6%的抗溶泡沫液,供给强度为12L/(min·㎡),连续供给时间15min,罐区泡沫液混合液用量为7.5L/s,共需泡沫液405L,灭火水6.5m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。本罐区共需消防水330.5m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因此，本项目总消防用水量为762.5m³。</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厂区设置容积为1360m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消防水池一座，分隔为2个，设置带切断阀的连通管，并配置投入式液位传感器，用于液位检测报警，消防水池设有补水系统，补水来自园区自来水管网，可以保证消防水保持量＞762.5m</w:t>
      </w:r>
      <w:r>
        <w:rPr>
          <w:rFonts w:hint="eastAsia" w:ascii="仿宋_GB2312" w:eastAsia="仿宋_GB2312"/>
          <w:spacing w:val="-2"/>
          <w:sz w:val="24"/>
          <w:szCs w:val="24"/>
          <w:vertAlign w:val="superscript"/>
          <w:lang w:val="zh-CN"/>
        </w:rPr>
        <w:t>3</w:t>
      </w:r>
      <w:r>
        <w:rPr>
          <w:rFonts w:hint="eastAsia" w:ascii="仿宋_GB2312" w:eastAsia="仿宋_GB2312"/>
          <w:spacing w:val="-2"/>
          <w:sz w:val="24"/>
          <w:szCs w:val="24"/>
          <w:lang w:val="zh-CN"/>
        </w:rPr>
        <w:t>，消防用水设计满足要求。</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（2）固定式消防设施</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A．消防泵房</w:t>
      </w:r>
    </w:p>
    <w:p>
      <w:pPr>
        <w:adjustRightInd w:val="0"/>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本项目消防水池南侧设置1个建筑面积29m</w:t>
      </w:r>
      <w:r>
        <w:rPr>
          <w:rFonts w:hint="eastAsia" w:ascii="仿宋_GB2312" w:eastAsia="仿宋_GB2312"/>
          <w:spacing w:val="-2"/>
          <w:sz w:val="24"/>
          <w:szCs w:val="24"/>
          <w:vertAlign w:val="superscript"/>
          <w:lang w:val="zh-CN"/>
        </w:rPr>
        <w:t>2</w:t>
      </w:r>
      <w:r>
        <w:rPr>
          <w:rFonts w:hint="eastAsia" w:ascii="仿宋_GB2312" w:eastAsia="仿宋_GB2312"/>
          <w:spacing w:val="-2"/>
          <w:sz w:val="24"/>
          <w:szCs w:val="24"/>
          <w:lang w:val="zh-CN"/>
        </w:rPr>
        <w:t>的消防泵房，内置XBD5/50-150W-400（Q=50L/s，H=50m，N=45kW）消防泵2台，一开一备，设置满足消防供水的要求。</w:t>
      </w:r>
    </w:p>
    <w:p>
      <w:pPr>
        <w:spacing w:line="360" w:lineRule="auto"/>
        <w:ind w:firstLine="560"/>
        <w:rPr>
          <w:rFonts w:ascii="仿宋_GB2312" w:eastAsia="仿宋_GB2312"/>
          <w:spacing w:val="-2"/>
          <w:sz w:val="24"/>
          <w:szCs w:val="24"/>
          <w:lang w:val="zh-CN"/>
        </w:rPr>
      </w:pPr>
      <w:r>
        <w:rPr>
          <w:rFonts w:hint="eastAsia" w:ascii="仿宋_GB2312" w:eastAsia="仿宋_GB2312"/>
          <w:spacing w:val="-2"/>
          <w:sz w:val="24"/>
          <w:szCs w:val="24"/>
          <w:lang w:val="zh-CN"/>
        </w:rPr>
        <w:t>B．</w:t>
      </w:r>
      <w:r>
        <w:rPr>
          <w:rFonts w:ascii="仿宋_GB2312" w:eastAsia="仿宋_GB2312"/>
          <w:spacing w:val="-2"/>
          <w:sz w:val="24"/>
          <w:szCs w:val="24"/>
          <w:lang w:val="zh-CN"/>
        </w:rPr>
        <w:t>室外消防水管网</w:t>
      </w:r>
    </w:p>
    <w:p>
      <w:pPr>
        <w:spacing w:line="360" w:lineRule="auto"/>
        <w:ind w:firstLine="560"/>
        <w:rPr>
          <w:rFonts w:ascii="仿宋_GB2312" w:eastAsia="仿宋_GB2312"/>
          <w:spacing w:val="-2"/>
          <w:sz w:val="24"/>
          <w:szCs w:val="24"/>
          <w:lang w:val="zh-CN"/>
        </w:rPr>
      </w:pPr>
      <w:r>
        <w:rPr>
          <w:rFonts w:hint="eastAsia" w:ascii="仿宋_GB2312" w:eastAsia="仿宋_GB2312"/>
          <w:spacing w:val="-2"/>
          <w:sz w:val="24"/>
          <w:szCs w:val="24"/>
          <w:lang w:val="zh-CN"/>
        </w:rPr>
        <w:t>厂区敷设DN150的环状消防给水管网，管材为无缝钢管，埋深1.0m，可保证室外消防给水的流速小于2.5m/s；并用阀门分成若干独立段，可保证每段内室外消火栓的数量不超过5个。室内消防管采用DN100的热镀锌钢管。</w:t>
      </w:r>
    </w:p>
    <w:p>
      <w:pPr>
        <w:spacing w:line="360" w:lineRule="auto"/>
        <w:ind w:firstLine="560"/>
        <w:rPr>
          <w:rFonts w:ascii="仿宋_GB2312" w:eastAsia="仿宋_GB2312"/>
          <w:spacing w:val="-2"/>
          <w:sz w:val="24"/>
          <w:szCs w:val="24"/>
          <w:lang w:val="zh-CN"/>
        </w:rPr>
      </w:pPr>
      <w:r>
        <w:rPr>
          <w:rFonts w:hint="eastAsia" w:ascii="仿宋_GB2312" w:eastAsia="仿宋_GB2312"/>
          <w:spacing w:val="-2"/>
          <w:sz w:val="24"/>
          <w:szCs w:val="24"/>
          <w:lang w:val="zh-CN"/>
        </w:rPr>
        <w:t>C．</w:t>
      </w:r>
      <w:r>
        <w:rPr>
          <w:rFonts w:ascii="仿宋_GB2312" w:eastAsia="仿宋_GB2312"/>
          <w:spacing w:val="-2"/>
          <w:sz w:val="24"/>
          <w:szCs w:val="24"/>
          <w:lang w:val="zh-CN"/>
        </w:rPr>
        <w:t>消火栓</w:t>
      </w:r>
    </w:p>
    <w:p>
      <w:pPr>
        <w:spacing w:line="360" w:lineRule="auto"/>
        <w:ind w:firstLine="560"/>
        <w:rPr>
          <w:rFonts w:ascii="仿宋_GB2312" w:eastAsia="仿宋_GB2312"/>
          <w:spacing w:val="-2"/>
          <w:sz w:val="24"/>
          <w:szCs w:val="24"/>
          <w:lang w:val="zh-CN"/>
        </w:rPr>
      </w:pPr>
      <w:r>
        <w:rPr>
          <w:rFonts w:hint="eastAsia" w:ascii="仿宋_GB2312" w:eastAsia="仿宋_GB2312"/>
          <w:spacing w:val="-2"/>
          <w:sz w:val="24"/>
          <w:szCs w:val="24"/>
          <w:lang w:val="zh-CN"/>
        </w:rPr>
        <w:t>室外消火栓型号选用SS100/65。室外消火栓均沿道路设置，距路边不大于2m，设置间距不大于60m，保护半径不大于120m。厂区共设置室外消火栓9个。</w:t>
      </w:r>
    </w:p>
    <w:p>
      <w:pPr>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在生产车间、甲类原料仓库、丙类原料仓库明显且易于操作的部位设置SN65室内消火栓，栓口离地面或或操作基面高度1.1m，出水方向与设置消火栓的墙面成90°。室内消火栓保护半径为25m，充实水柱为13m。室内消火栓箱内配备设置SN65消火栓、φ19mm水枪、25m长DN65水带、消防软管卷盘及直接启动消防水泵的按钮。MNBA、HGSXFT车间设置室内消火栓12个，OASE、DCAP车间设置室内消火栓8个，SGL车间设室内消火栓8个，甲类原料仓库设室内消火栓3个，丙类原料仓库设室内消火栓4个。本项目共设置SN65室内消火栓35个。</w:t>
      </w:r>
    </w:p>
    <w:p>
      <w:pPr>
        <w:snapToGrid w:val="0"/>
        <w:spacing w:line="360" w:lineRule="auto"/>
        <w:ind w:firstLine="472" w:firstLineChars="200"/>
        <w:rPr>
          <w:rFonts w:hAnsi="宋体"/>
          <w:szCs w:val="28"/>
          <w:highlight w:val="yellow"/>
        </w:rPr>
      </w:pPr>
      <w:r>
        <w:rPr>
          <w:rFonts w:hint="eastAsia" w:ascii="仿宋_GB2312" w:eastAsia="仿宋_GB2312"/>
          <w:spacing w:val="-2"/>
          <w:sz w:val="24"/>
          <w:szCs w:val="24"/>
          <w:lang w:val="zh-CN"/>
        </w:rPr>
        <w:t>蓬莱市前卫化工有限公司</w:t>
      </w:r>
      <w:r>
        <w:rPr>
          <w:rFonts w:ascii="仿宋_GB2312" w:eastAsia="仿宋_GB2312"/>
          <w:spacing w:val="-2"/>
          <w:sz w:val="24"/>
          <w:szCs w:val="24"/>
          <w:lang w:val="zh-CN"/>
        </w:rPr>
        <w:t>厂区</w:t>
      </w:r>
      <w:r>
        <w:rPr>
          <w:rFonts w:hint="eastAsia" w:ascii="仿宋_GB2312" w:eastAsia="仿宋_GB2312"/>
          <w:spacing w:val="-2"/>
          <w:sz w:val="24"/>
          <w:szCs w:val="24"/>
          <w:lang w:val="zh-CN"/>
        </w:rPr>
        <w:t>外协消防</w:t>
      </w:r>
      <w:r>
        <w:rPr>
          <w:rFonts w:ascii="仿宋_GB2312" w:eastAsia="仿宋_GB2312"/>
          <w:spacing w:val="-2"/>
          <w:sz w:val="24"/>
          <w:szCs w:val="24"/>
          <w:lang w:val="zh-CN"/>
        </w:rPr>
        <w:t>依托</w:t>
      </w:r>
      <w:r>
        <w:rPr>
          <w:rFonts w:hint="eastAsia" w:ascii="仿宋_GB2312" w:eastAsia="仿宋_GB2312"/>
          <w:spacing w:val="-2"/>
          <w:sz w:val="24"/>
          <w:szCs w:val="24"/>
          <w:lang w:val="zh-CN"/>
        </w:rPr>
        <w:t>蓬莱市消防大队二中队，距离3km，在</w:t>
      </w:r>
      <w:r>
        <w:rPr>
          <w:rFonts w:ascii="仿宋_GB2312" w:eastAsia="仿宋_GB2312"/>
          <w:spacing w:val="-2"/>
          <w:sz w:val="24"/>
          <w:szCs w:val="24"/>
          <w:lang w:val="zh-CN"/>
        </w:rPr>
        <w:t>发生事故</w:t>
      </w:r>
      <w:r>
        <w:rPr>
          <w:rFonts w:hint="eastAsia" w:ascii="仿宋_GB2312" w:eastAsia="仿宋_GB2312"/>
          <w:spacing w:val="-2"/>
          <w:sz w:val="24"/>
          <w:szCs w:val="24"/>
          <w:lang w:val="zh-CN"/>
        </w:rPr>
        <w:t>后消防车10分钟内</w:t>
      </w:r>
      <w:r>
        <w:rPr>
          <w:rFonts w:ascii="仿宋_GB2312" w:eastAsia="仿宋_GB2312"/>
          <w:spacing w:val="-2"/>
          <w:sz w:val="24"/>
          <w:szCs w:val="24"/>
          <w:lang w:val="zh-CN"/>
        </w:rPr>
        <w:t>能迅速赶到现场，</w:t>
      </w:r>
      <w:r>
        <w:rPr>
          <w:rFonts w:hint="eastAsia" w:ascii="仿宋_GB2312" w:eastAsia="仿宋_GB2312"/>
          <w:spacing w:val="-2"/>
          <w:sz w:val="24"/>
          <w:szCs w:val="24"/>
          <w:lang w:val="zh-CN"/>
        </w:rPr>
        <w:t>及时处理事故，外部消防力量能满足本项目消防需要</w:t>
      </w:r>
      <w:r>
        <w:rPr>
          <w:rFonts w:ascii="仿宋_GB2312" w:eastAsia="仿宋_GB2312"/>
          <w:spacing w:val="-2"/>
          <w:sz w:val="24"/>
          <w:szCs w:val="24"/>
          <w:lang w:val="zh-CN"/>
        </w:rPr>
        <w:t>。</w:t>
      </w:r>
    </w:p>
    <w:p>
      <w:pPr>
        <w:numPr>
          <w:ilvl w:val="0"/>
          <w:numId w:val="5"/>
        </w:numPr>
        <w:snapToGrid w:val="0"/>
        <w:spacing w:line="360" w:lineRule="auto"/>
        <w:ind w:firstLine="480" w:firstLineChars="200"/>
        <w:rPr>
          <w:rFonts w:ascii="仿宋_GB2312" w:hAnsi="仿宋" w:eastAsia="仿宋_GB2312" w:cs="仿宋"/>
          <w:kern w:val="2"/>
          <w:sz w:val="24"/>
          <w:szCs w:val="24"/>
        </w:rPr>
      </w:pPr>
      <w:r>
        <w:rPr>
          <w:rFonts w:hint="eastAsia" w:ascii="仿宋_GB2312" w:hAnsi="仿宋" w:eastAsia="仿宋_GB2312" w:cs="仿宋"/>
          <w:kern w:val="2"/>
          <w:sz w:val="24"/>
          <w:szCs w:val="24"/>
        </w:rPr>
        <w:t>灭火系统防范措施</w:t>
      </w:r>
    </w:p>
    <w:p>
      <w:pPr>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按《建筑灭火器配置设计规范》（GB50140-2005）配置手提式干粉灭火器、手提式二氧化碳灭火器，置于现场灭火器箱内，用于扑救初起火灾。</w:t>
      </w:r>
    </w:p>
    <w:p>
      <w:pPr>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灭火器配置如下：MNBA、HGSXFT车间每层设置MF8手提式干粉灭火器48个；OASE、DCAP车间设置MF8手提式干粉灭火器34个；SGL车间设置MF8手提式干粉灭火器54个；甲类原料仓库设置MF8手提式干粉灭火器12个；丙类原料仓库设置MF8手提式干粉灭火器12个；空压站设置MF8手提式干粉灭火器4个；冷冻站设置MT7手提式二氧化碳灭火器2个；甲类罐区设置MF8手提式干粉灭火器8个；真空泵房设置MT7手提式二氧化碳灭火器2个；SGL干燥间设置MF8手提式干粉灭火器4个；化料房设置MF8手提式干粉灭火器2个；动力站设置MF8手提式干粉灭火器2个；氯气房设置MF8手提式干粉灭火器2个；变配电室设置MT7手提式二氧化碳灭火器2个；控制室设置MT7手提式二氧化碳灭火器2个；综合楼每层设置MF4手提式干粉灭火器4个。</w:t>
      </w:r>
    </w:p>
    <w:p>
      <w:pPr>
        <w:snapToGrid w:val="0"/>
        <w:spacing w:line="360" w:lineRule="auto"/>
        <w:ind w:firstLine="472" w:firstLineChars="200"/>
        <w:rPr>
          <w:rFonts w:ascii="仿宋_GB2312" w:eastAsia="仿宋_GB2312"/>
          <w:spacing w:val="-2"/>
          <w:sz w:val="24"/>
          <w:szCs w:val="24"/>
          <w:lang w:val="zh-CN"/>
        </w:rPr>
      </w:pPr>
      <w:r>
        <w:rPr>
          <w:rFonts w:hint="eastAsia" w:ascii="仿宋_GB2312" w:eastAsia="仿宋_GB2312"/>
          <w:spacing w:val="-2"/>
          <w:sz w:val="24"/>
          <w:szCs w:val="24"/>
          <w:lang w:val="zh-CN"/>
        </w:rPr>
        <w:t>在甲类罐区设置移动式泡沫车1辆，型号为PMY450，设置消防砂池2座，并配有一定数量的砂桶和铁锨。甲类原料仓库设置消防砂池1座，并配有一定数量的砂桶和铁锨，满足灭火系统的要求。</w:t>
      </w:r>
    </w:p>
    <w:p>
      <w:pPr>
        <w:numPr>
          <w:ilvl w:val="0"/>
          <w:numId w:val="5"/>
        </w:numPr>
        <w:snapToGrid w:val="0"/>
        <w:spacing w:line="360" w:lineRule="auto"/>
        <w:ind w:firstLine="480" w:firstLineChars="200"/>
        <w:rPr>
          <w:rFonts w:ascii="仿宋_GB2312" w:hAnsi="仿宋" w:eastAsia="仿宋_GB2312" w:cs="仿宋"/>
          <w:kern w:val="2"/>
          <w:sz w:val="24"/>
          <w:szCs w:val="24"/>
        </w:rPr>
      </w:pPr>
      <w:r>
        <w:rPr>
          <w:rFonts w:hint="eastAsia" w:ascii="仿宋_GB2312" w:hAnsi="仿宋" w:eastAsia="仿宋_GB2312" w:cs="仿宋"/>
          <w:kern w:val="2"/>
          <w:sz w:val="24"/>
          <w:szCs w:val="24"/>
          <w:lang w:eastAsia="zh-CN"/>
        </w:rPr>
        <w:t>防泄漏安全生产</w:t>
      </w:r>
      <w:r>
        <w:rPr>
          <w:rFonts w:hint="eastAsia" w:ascii="仿宋_GB2312" w:hAnsi="仿宋" w:eastAsia="仿宋_GB2312" w:cs="仿宋"/>
          <w:kern w:val="2"/>
          <w:sz w:val="24"/>
          <w:szCs w:val="24"/>
        </w:rPr>
        <w:t>三级防范措施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（1）一级防控</w:t>
      </w:r>
    </w:p>
    <w:p>
      <w:pPr>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本项目的一级防控主要考虑从源头预防事故的发生，并设置事故收集设施，具体措施为：</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①在危险品罐区安装报警设施，当空气中有害气体或可燃气体浓度超过限值时自动报警，便于及时预警安防人员，以便于其迅速查找泄漏部位并及时清楚隐患。</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②加强罐区附属设备的维修，对贮存容器及其相关附属设备（如管线、阀门、泵等）每年应彻底检查两次，保持设备严密性，改进操作管理，降低物料泄漏的可能性。</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③</w:t>
      </w:r>
      <w:r>
        <w:rPr>
          <w:rFonts w:hint="eastAsia" w:ascii="仿宋_GB2312" w:hAnsi="仿宋" w:eastAsia="仿宋_GB2312" w:cs="仿宋"/>
          <w:spacing w:val="8"/>
          <w:sz w:val="24"/>
          <w:szCs w:val="24"/>
        </w:rPr>
        <w:t>罐区四周建设1m高围堰，并对罐体地面采用严格防渗，</w:t>
      </w:r>
      <w:r>
        <w:rPr>
          <w:rFonts w:hint="eastAsia" w:ascii="仿宋_GB2312" w:hAnsi="Times New Roman" w:eastAsia="仿宋_GB2312"/>
          <w:color w:val="000000"/>
          <w:sz w:val="24"/>
          <w:szCs w:val="24"/>
        </w:rPr>
        <w:t>罐区围堰内有效容积可以完全收集储罐泄露的危化品；</w:t>
      </w:r>
      <w:r>
        <w:rPr>
          <w:rFonts w:hint="eastAsia" w:ascii="仿宋_GB2312" w:hAnsi="仿宋" w:eastAsia="仿宋_GB2312" w:cs="仿宋"/>
          <w:spacing w:val="8"/>
          <w:sz w:val="24"/>
          <w:szCs w:val="24"/>
        </w:rPr>
        <w:t>罐区的排水管道出口设置阀门井进行切换，使</w:t>
      </w:r>
      <w:r>
        <w:rPr>
          <w:rFonts w:hint="eastAsia" w:ascii="仿宋_GB2312" w:hAnsi="仿宋" w:eastAsia="仿宋_GB2312" w:cs="仿宋"/>
          <w:spacing w:val="8"/>
          <w:sz w:val="24"/>
          <w:szCs w:val="24"/>
          <w:lang w:eastAsia="zh-CN"/>
        </w:rPr>
        <w:t>泄漏物料、</w:t>
      </w:r>
      <w:r>
        <w:rPr>
          <w:rFonts w:hint="eastAsia" w:ascii="仿宋_GB2312" w:hAnsi="仿宋" w:eastAsia="仿宋_GB2312" w:cs="仿宋"/>
          <w:spacing w:val="8"/>
          <w:sz w:val="24"/>
          <w:szCs w:val="24"/>
        </w:rPr>
        <w:t>事故水和污染的初期雨水自流进入厂区事故水池收集。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⑵ 二级防控</w:t>
      </w:r>
    </w:p>
    <w:p>
      <w:pPr>
        <w:spacing w:line="360" w:lineRule="auto"/>
        <w:ind w:firstLine="480" w:firstLineChars="200"/>
        <w:rPr>
          <w:sz w:val="28"/>
          <w:szCs w:val="36"/>
        </w:rPr>
      </w:pPr>
      <w:r>
        <w:rPr>
          <w:rFonts w:hint="eastAsia" w:ascii="仿宋" w:hAnsi="仿宋" w:eastAsia="仿宋" w:cs="仿宋"/>
          <w:sz w:val="24"/>
          <w:szCs w:val="24"/>
        </w:rPr>
        <w:t>项目的二级防控主要是设置事故水暂存设施，避免事故水肆意外排，污染周围的水环境。</w:t>
      </w:r>
      <w:r>
        <w:rPr>
          <w:rFonts w:ascii="仿宋" w:hAnsi="仿宋" w:eastAsia="仿宋" w:cs="仿宋"/>
          <w:sz w:val="24"/>
          <w:szCs w:val="24"/>
        </w:rPr>
        <w:t>厂区北侧设置一座事故水池，东西长17m，南北宽20.11m，深4m，容积为1372m³，本项目事故污水最大量为663m³，事故水池容积完全能满足本项目</w:t>
      </w:r>
      <w:r>
        <w:rPr>
          <w:rFonts w:hint="eastAsia" w:ascii="仿宋" w:hAnsi="仿宋" w:eastAsia="仿宋" w:cs="仿宋"/>
          <w:sz w:val="24"/>
          <w:szCs w:val="24"/>
          <w:lang w:eastAsia="zh-CN"/>
        </w:rPr>
        <w:t>事故水</w:t>
      </w:r>
      <w:r>
        <w:rPr>
          <w:rFonts w:ascii="仿宋" w:hAnsi="仿宋" w:eastAsia="仿宋" w:cs="仿宋"/>
          <w:sz w:val="24"/>
          <w:szCs w:val="24"/>
        </w:rPr>
        <w:t>收集容积要求。</w:t>
      </w:r>
    </w:p>
    <w:p>
      <w:pPr>
        <w:pStyle w:val="77"/>
        <w:numPr>
          <w:ilvl w:val="0"/>
          <w:numId w:val="6"/>
        </w:numPr>
        <w:spacing w:line="360" w:lineRule="auto"/>
        <w:ind w:firstLineChars="0"/>
        <w:rPr>
          <w:rFonts w:ascii="仿宋" w:hAnsi="仿宋" w:eastAsia="仿宋" w:cs="仿宋"/>
          <w:sz w:val="24"/>
          <w:szCs w:val="24"/>
        </w:rPr>
      </w:pPr>
      <w:r>
        <w:rPr>
          <w:rFonts w:hint="eastAsia" w:ascii="仿宋" w:hAnsi="仿宋" w:eastAsia="仿宋" w:cs="仿宋"/>
          <w:sz w:val="24"/>
          <w:szCs w:val="24"/>
        </w:rPr>
        <w:t>三级防控</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项目的三级防控主要是对事故水进行消化、处理，保证其不排入外环境，具体措施为：</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①事故发生时，及时关闭总排污口，避免雨水、</w:t>
      </w:r>
      <w:r>
        <w:rPr>
          <w:rFonts w:hint="eastAsia" w:ascii="仿宋" w:hAnsi="仿宋" w:eastAsia="仿宋" w:cs="仿宋"/>
          <w:color w:val="0000FF"/>
          <w:sz w:val="24"/>
          <w:szCs w:val="24"/>
        </w:rPr>
        <w:t>消防水等</w:t>
      </w:r>
      <w:r>
        <w:rPr>
          <w:rFonts w:hint="eastAsia" w:ascii="仿宋" w:hAnsi="仿宋" w:eastAsia="仿宋" w:cs="仿宋"/>
          <w:sz w:val="24"/>
          <w:szCs w:val="24"/>
        </w:rPr>
        <w:t>排入外环境。</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② 项目厂区设有设计处理能力为 500m</w:t>
      </w:r>
      <w:r>
        <w:rPr>
          <w:rFonts w:hint="eastAsia" w:ascii="仿宋" w:hAnsi="仿宋" w:eastAsia="仿宋" w:cs="仿宋"/>
          <w:sz w:val="24"/>
          <w:szCs w:val="24"/>
          <w:vertAlign w:val="superscript"/>
        </w:rPr>
        <w:t>3</w:t>
      </w:r>
      <w:r>
        <w:rPr>
          <w:rFonts w:hint="eastAsia" w:ascii="仿宋" w:hAnsi="仿宋" w:eastAsia="仿宋" w:cs="仿宋"/>
          <w:sz w:val="24"/>
          <w:szCs w:val="24"/>
        </w:rPr>
        <w:t>/d 的污水处理站，事故发生后，将事故水池收集的废水分次少量的加入污水处理站中和处理池处理，处理达标后排入市政污水管网。</w:t>
      </w:r>
    </w:p>
    <w:p>
      <w:pPr>
        <w:snapToGrid w:val="0"/>
        <w:spacing w:line="360" w:lineRule="auto"/>
        <w:ind w:firstLine="480"/>
        <w:rPr>
          <w:rFonts w:ascii="仿宋_GB2312" w:hAnsi="Times New Roman" w:eastAsia="仿宋_GB2312"/>
          <w:bCs/>
          <w:sz w:val="24"/>
          <w:szCs w:val="24"/>
        </w:rPr>
      </w:pPr>
      <w:r>
        <w:rPr>
          <w:rFonts w:hint="eastAsia" w:ascii="仿宋" w:hAnsi="仿宋" w:eastAsia="仿宋"/>
          <w:bCs/>
          <w:sz w:val="24"/>
          <w:szCs w:val="24"/>
        </w:rPr>
        <w:t>③</w:t>
      </w:r>
      <w:r>
        <w:rPr>
          <w:rFonts w:hint="eastAsia" w:ascii="仿宋_GB2312" w:hAnsi="Times New Roman" w:eastAsia="仿宋_GB2312"/>
          <w:bCs/>
          <w:sz w:val="24"/>
          <w:szCs w:val="24"/>
        </w:rPr>
        <w:t>废水雨污分流，污水排放口与雨水排放口均设置控制阀门。</w:t>
      </w:r>
    </w:p>
    <w:p>
      <w:pPr>
        <w:snapToGrid w:val="0"/>
        <w:spacing w:line="360" w:lineRule="auto"/>
        <w:ind w:firstLine="560" w:firstLineChars="200"/>
        <w:outlineLvl w:val="1"/>
        <w:rPr>
          <w:rFonts w:ascii="仿宋_GB2312" w:hAnsi="华文细黑" w:eastAsia="仿宋_GB2312"/>
          <w:sz w:val="28"/>
          <w:szCs w:val="28"/>
        </w:rPr>
      </w:pPr>
      <w:bookmarkStart w:id="99" w:name="_Toc410289784"/>
      <w:bookmarkStart w:id="100" w:name="_Toc225244059"/>
      <w:bookmarkStart w:id="101" w:name="_Toc224965878"/>
      <w:bookmarkStart w:id="102" w:name="_Toc17120"/>
      <w:r>
        <w:rPr>
          <w:rFonts w:hint="eastAsia" w:ascii="仿宋_GB2312" w:hAnsi="华文细黑" w:eastAsia="仿宋_GB2312"/>
          <w:sz w:val="28"/>
          <w:szCs w:val="28"/>
        </w:rPr>
        <w:t>5.3预警</w:t>
      </w:r>
      <w:bookmarkEnd w:id="99"/>
      <w:bookmarkEnd w:id="100"/>
      <w:bookmarkEnd w:id="101"/>
      <w:r>
        <w:rPr>
          <w:rFonts w:hint="eastAsia" w:ascii="仿宋_GB2312" w:hAnsi="华文细黑" w:eastAsia="仿宋_GB2312"/>
          <w:sz w:val="28"/>
          <w:szCs w:val="28"/>
        </w:rPr>
        <w:t>及措施</w:t>
      </w:r>
      <w:bookmarkEnd w:id="102"/>
    </w:p>
    <w:p>
      <w:pPr>
        <w:snapToGrid w:val="0"/>
        <w:spacing w:line="360" w:lineRule="auto"/>
        <w:ind w:firstLine="560" w:firstLineChars="200"/>
        <w:outlineLvl w:val="2"/>
        <w:rPr>
          <w:rFonts w:ascii="仿宋_GB2312" w:hAnsi="华文细黑" w:eastAsia="仿宋_GB2312"/>
          <w:sz w:val="28"/>
          <w:szCs w:val="28"/>
        </w:rPr>
      </w:pPr>
      <w:bookmarkStart w:id="103" w:name="_Toc28581"/>
      <w:r>
        <w:rPr>
          <w:rFonts w:hint="eastAsia" w:ascii="仿宋_GB2312" w:hAnsi="华文细黑" w:eastAsia="仿宋_GB2312"/>
          <w:sz w:val="28"/>
          <w:szCs w:val="28"/>
        </w:rPr>
        <w:t>5.3.1预警分级</w:t>
      </w:r>
      <w:bookmarkEnd w:id="103"/>
    </w:p>
    <w:p>
      <w:pPr>
        <w:snapToGrid w:val="0"/>
        <w:spacing w:line="360" w:lineRule="auto"/>
        <w:rPr>
          <w:rFonts w:ascii="仿宋_GB2312" w:eastAsia="仿宋_GB2312"/>
          <w:sz w:val="24"/>
          <w:szCs w:val="24"/>
          <w:lang w:val="zh-CN"/>
        </w:rPr>
      </w:pPr>
      <w:r>
        <w:rPr>
          <w:rFonts w:hint="eastAsia" w:ascii="仿宋_GB2312" w:hAnsi="华文细黑" w:eastAsia="仿宋_GB2312"/>
          <w:kern w:val="11"/>
          <w:sz w:val="24"/>
          <w:szCs w:val="24"/>
        </w:rPr>
        <w:t xml:space="preserve">    按照突发环境事件的严重性、紧急程度和可能波及的范围，突发环境事件的预警由高到低分为</w:t>
      </w:r>
      <w:r>
        <w:rPr>
          <w:rFonts w:hint="eastAsia" w:ascii="仿宋" w:hAnsi="仿宋" w:eastAsia="仿宋"/>
          <w:kern w:val="11"/>
          <w:sz w:val="24"/>
          <w:szCs w:val="24"/>
        </w:rPr>
        <w:t>重大（Ⅰ级）、较大（Ⅱ级）和一般（Ⅲ级），颜色依次为橙色、黄色、蓝色。</w:t>
      </w:r>
      <w:r>
        <w:rPr>
          <w:rFonts w:hint="eastAsia" w:ascii="仿宋_GB2312" w:hAnsi="华文细黑" w:eastAsia="仿宋_GB2312"/>
          <w:kern w:val="11"/>
          <w:sz w:val="24"/>
          <w:szCs w:val="24"/>
        </w:rPr>
        <w:t>根据事态的发展情况和采取措施的效果，预警颜色可以升级、降级或解除。</w:t>
      </w:r>
      <w:r>
        <w:rPr>
          <w:rFonts w:ascii="仿宋_GB2312" w:hAnsi="华文细黑" w:eastAsia="仿宋_GB2312"/>
          <w:kern w:val="11"/>
          <w:sz w:val="24"/>
          <w:szCs w:val="24"/>
        </w:rPr>
        <w:t>收集到有关信息证明突发环境污染事件即将发生或者发生的可能性增大时，按照相关应急预案执行。</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（1）Ⅰ级预警（橙色）</w:t>
      </w:r>
    </w:p>
    <w:p>
      <w:pPr>
        <w:autoSpaceDE w:val="0"/>
        <w:autoSpaceDN w:val="0"/>
        <w:adjustRightInd w:val="0"/>
        <w:snapToGrid w:val="0"/>
        <w:spacing w:line="360" w:lineRule="auto"/>
        <w:ind w:firstLine="480" w:firstLineChars="200"/>
        <w:rPr>
          <w:rFonts w:ascii="仿宋" w:hAnsi="仿宋" w:eastAsia="仿宋" w:cs="仿宋"/>
          <w:sz w:val="24"/>
          <w:szCs w:val="24"/>
          <w:lang w:val="zh-CN"/>
        </w:rPr>
      </w:pPr>
      <w:r>
        <w:rPr>
          <w:rFonts w:hint="eastAsia" w:ascii="仿宋" w:hAnsi="仿宋" w:eastAsia="仿宋" w:cs="仿宋"/>
          <w:sz w:val="24"/>
          <w:szCs w:val="24"/>
        </w:rPr>
        <w:t>Ⅰ级</w:t>
      </w:r>
      <w:r>
        <w:rPr>
          <w:rFonts w:hint="eastAsia" w:ascii="仿宋" w:hAnsi="仿宋" w:eastAsia="仿宋" w:cs="仿宋"/>
          <w:sz w:val="24"/>
          <w:szCs w:val="24"/>
          <w:lang w:val="zh-CN"/>
        </w:rPr>
        <w:t>预警为本项目储罐区、危化品仓库及生产装置发生大量危化品泄漏，引发火灾、爆炸及中毒事故的发生，事故风险</w:t>
      </w:r>
      <w:r>
        <w:rPr>
          <w:rFonts w:hint="eastAsia" w:ascii="仿宋" w:hAnsi="仿宋" w:eastAsia="仿宋" w:cs="仿宋"/>
          <w:sz w:val="24"/>
          <w:szCs w:val="24"/>
        </w:rPr>
        <w:t>除对本公司人员、设备、设施造成严重损失外，而且有扩散趋势，将会对邻近公司造成影响。</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val="zh-CN"/>
        </w:rPr>
        <w:t>Ⅱ级</w:t>
      </w:r>
      <w:r>
        <w:rPr>
          <w:rFonts w:hint="eastAsia" w:ascii="仿宋" w:hAnsi="仿宋" w:eastAsia="仿宋" w:cs="仿宋"/>
          <w:sz w:val="24"/>
          <w:szCs w:val="24"/>
        </w:rPr>
        <w:t>预警（黄色）</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val="zh-CN"/>
        </w:rPr>
        <w:t>Ⅱ级</w:t>
      </w:r>
      <w:r>
        <w:rPr>
          <w:rFonts w:hint="eastAsia" w:ascii="仿宋" w:hAnsi="仿宋" w:eastAsia="仿宋" w:cs="仿宋"/>
          <w:sz w:val="24"/>
          <w:szCs w:val="24"/>
        </w:rPr>
        <w:t>预警为</w:t>
      </w:r>
      <w:r>
        <w:rPr>
          <w:rFonts w:hint="eastAsia" w:ascii="仿宋" w:hAnsi="仿宋" w:eastAsia="仿宋" w:cs="仿宋"/>
          <w:sz w:val="24"/>
          <w:szCs w:val="24"/>
          <w:lang w:val="zh-CN"/>
        </w:rPr>
        <w:t>本项目储罐区及危化品仓库</w:t>
      </w:r>
      <w:r>
        <w:rPr>
          <w:rFonts w:hint="eastAsia" w:ascii="仿宋" w:hAnsi="仿宋" w:eastAsia="仿宋" w:cs="仿宋"/>
          <w:sz w:val="24"/>
          <w:szCs w:val="24"/>
        </w:rPr>
        <w:t>发生大量</w:t>
      </w:r>
      <w:r>
        <w:rPr>
          <w:rFonts w:hint="eastAsia" w:ascii="仿宋" w:hAnsi="仿宋" w:eastAsia="仿宋" w:cs="仿宋"/>
          <w:sz w:val="24"/>
          <w:szCs w:val="24"/>
          <w:lang w:val="zh-CN"/>
        </w:rPr>
        <w:t>危化品</w:t>
      </w:r>
      <w:r>
        <w:rPr>
          <w:rFonts w:hint="eastAsia" w:ascii="仿宋" w:hAnsi="仿宋" w:eastAsia="仿宋" w:cs="仿宋"/>
          <w:sz w:val="24"/>
          <w:szCs w:val="24"/>
        </w:rPr>
        <w:t>泄漏，引发火灾事故，事故风险可以控制在本公司范围内，未衍生到其他外部公司。</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zh-CN"/>
        </w:rPr>
        <w:t>Ⅲ级</w:t>
      </w:r>
      <w:r>
        <w:rPr>
          <w:rFonts w:hint="eastAsia" w:ascii="仿宋" w:hAnsi="仿宋" w:eastAsia="仿宋" w:cs="仿宋"/>
          <w:sz w:val="24"/>
          <w:szCs w:val="24"/>
        </w:rPr>
        <w:t>预警（蓝色）</w:t>
      </w:r>
    </w:p>
    <w:p>
      <w:pPr>
        <w:widowControl/>
        <w:snapToGrid w:val="0"/>
        <w:spacing w:line="360" w:lineRule="auto"/>
        <w:ind w:firstLine="480" w:firstLineChars="200"/>
      </w:pPr>
      <w:r>
        <w:rPr>
          <w:rFonts w:hint="eastAsia" w:ascii="仿宋" w:hAnsi="仿宋" w:eastAsia="仿宋"/>
          <w:sz w:val="24"/>
          <w:szCs w:val="24"/>
          <w:lang w:val="zh-CN"/>
        </w:rPr>
        <w:t>Ⅲ级</w:t>
      </w:r>
      <w:r>
        <w:rPr>
          <w:rFonts w:hint="eastAsia" w:ascii="仿宋" w:hAnsi="仿宋" w:eastAsia="仿宋"/>
          <w:kern w:val="11"/>
          <w:sz w:val="24"/>
          <w:szCs w:val="24"/>
        </w:rPr>
        <w:t>预警为危化品使用过程中设备发生少量的跑冒滴漏，仅对岗位人员、设备和设施造成一定的影响。</w:t>
      </w:r>
    </w:p>
    <w:p>
      <w:pPr>
        <w:snapToGrid w:val="0"/>
        <w:spacing w:line="360" w:lineRule="auto"/>
        <w:ind w:firstLine="560" w:firstLineChars="200"/>
        <w:outlineLvl w:val="2"/>
        <w:rPr>
          <w:rFonts w:ascii="仿宋_GB2312" w:hAnsi="华文细黑" w:eastAsia="仿宋_GB2312"/>
          <w:sz w:val="28"/>
          <w:szCs w:val="28"/>
        </w:rPr>
      </w:pPr>
      <w:bookmarkStart w:id="104" w:name="_Toc16745"/>
      <w:bookmarkStart w:id="105" w:name="_Toc410289785"/>
      <w:r>
        <w:rPr>
          <w:rFonts w:hint="eastAsia" w:ascii="仿宋_GB2312" w:hAnsi="华文细黑" w:eastAsia="仿宋_GB2312"/>
          <w:sz w:val="28"/>
          <w:szCs w:val="28"/>
        </w:rPr>
        <w:t>5.3.2预警发布的条件</w:t>
      </w:r>
      <w:bookmarkEnd w:id="104"/>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（1）在危险源排查时发现存在可能造成人员伤亡、财产损失等严重后果的重大危险源时，发现人员应及时预警。</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（2）应急办公室或事故现场人员收到信息证明突发环境事件即将发生或者发生的可能性增大时，立即进入预警状态，并启动突发环境事件应急预案。</w:t>
      </w:r>
    </w:p>
    <w:p>
      <w:pPr>
        <w:autoSpaceDE w:val="0"/>
        <w:autoSpaceDN w:val="0"/>
        <w:adjustRightInd w:val="0"/>
        <w:snapToGrid w:val="0"/>
        <w:spacing w:line="360" w:lineRule="auto"/>
        <w:ind w:firstLine="560"/>
        <w:jc w:val="left"/>
        <w:rPr>
          <w:rFonts w:ascii="仿宋_GB2312" w:hAnsi="华文细黑" w:eastAsia="仿宋_GB2312"/>
          <w:sz w:val="28"/>
          <w:szCs w:val="28"/>
        </w:rPr>
      </w:pPr>
      <w:r>
        <w:rPr>
          <w:rFonts w:hint="eastAsia" w:ascii="仿宋_GB2312" w:eastAsia="仿宋_GB2312"/>
          <w:sz w:val="24"/>
          <w:szCs w:val="24"/>
          <w:lang w:val="zh-CN"/>
        </w:rPr>
        <w:t>（3）公司内部发布预警公告须经应急指挥组总指挥批准，由应急办公室发布。预警公告的内容主要包括：突发环境事件名称、预警级别、预警区域或场所、预警期起止时间、影响估计程度和范围、拟采取的应对措施和发布单位等。预警公告发布后，需要变更预警内容的应当及时发布变更公告。</w:t>
      </w:r>
    </w:p>
    <w:bookmarkEnd w:id="105"/>
    <w:p>
      <w:pPr>
        <w:snapToGrid w:val="0"/>
        <w:spacing w:line="360" w:lineRule="auto"/>
        <w:ind w:firstLine="560" w:firstLineChars="200"/>
        <w:outlineLvl w:val="2"/>
        <w:rPr>
          <w:rFonts w:ascii="仿宋_GB2312" w:hAnsi="华文细黑" w:eastAsia="仿宋_GB2312"/>
          <w:sz w:val="28"/>
          <w:szCs w:val="28"/>
        </w:rPr>
      </w:pPr>
      <w:bookmarkStart w:id="106" w:name="_Toc410289787"/>
      <w:bookmarkStart w:id="107" w:name="_Toc17809"/>
      <w:r>
        <w:rPr>
          <w:rFonts w:hint="eastAsia" w:ascii="仿宋_GB2312" w:hAnsi="华文细黑" w:eastAsia="仿宋_GB2312"/>
          <w:sz w:val="28"/>
          <w:szCs w:val="28"/>
        </w:rPr>
        <w:t>5.3.3预警发布的方式、方法</w:t>
      </w:r>
      <w:bookmarkEnd w:id="106"/>
      <w:bookmarkEnd w:id="107"/>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预警方式主要是电话。事故发生后，现场发现者立即通过公司电话报告本班班组长，班组长第一时间赶赴现场，根据事件发生情况确定预警等级。</w:t>
      </w:r>
    </w:p>
    <w:p>
      <w:pPr>
        <w:snapToGrid w:val="0"/>
        <w:spacing w:line="360" w:lineRule="auto"/>
        <w:ind w:firstLine="480" w:firstLineChars="200"/>
        <w:rPr>
          <w:rFonts w:ascii="仿宋" w:hAnsi="仿宋" w:eastAsia="仿宋" w:cs="仿宋"/>
          <w:sz w:val="24"/>
          <w:szCs w:val="24"/>
          <w:lang w:val="zh-CN"/>
        </w:rPr>
      </w:pPr>
      <w:r>
        <w:rPr>
          <w:rFonts w:hint="eastAsia" w:ascii="仿宋" w:hAnsi="仿宋" w:eastAsia="仿宋" w:cs="仿宋"/>
          <w:sz w:val="24"/>
          <w:szCs w:val="24"/>
          <w:lang w:val="zh-CN"/>
        </w:rPr>
        <w:t>Ⅲ级预警：班组长负责现场指挥应急处置工作。</w:t>
      </w:r>
    </w:p>
    <w:p>
      <w:pPr>
        <w:snapToGrid w:val="0"/>
        <w:spacing w:line="360" w:lineRule="auto"/>
        <w:ind w:firstLine="480" w:firstLineChars="200"/>
        <w:rPr>
          <w:rFonts w:ascii="仿宋" w:hAnsi="仿宋" w:eastAsia="仿宋" w:cs="仿宋"/>
          <w:sz w:val="24"/>
          <w:szCs w:val="24"/>
          <w:lang w:val="zh-CN"/>
        </w:rPr>
      </w:pPr>
      <w:r>
        <w:rPr>
          <w:rFonts w:hint="eastAsia" w:ascii="仿宋" w:hAnsi="仿宋" w:eastAsia="仿宋" w:cs="仿宋"/>
          <w:sz w:val="24"/>
          <w:szCs w:val="24"/>
          <w:lang w:val="zh-CN"/>
        </w:rPr>
        <w:t>Ⅱ级</w:t>
      </w:r>
      <w:r>
        <w:rPr>
          <w:rFonts w:hint="eastAsia" w:ascii="仿宋" w:hAnsi="仿宋" w:eastAsia="仿宋" w:cs="仿宋"/>
          <w:kern w:val="11"/>
          <w:sz w:val="24"/>
          <w:szCs w:val="24"/>
        </w:rPr>
        <w:t>预警：班组长立即启动报警，并第一时间将现场事件的发生情况及可能衍生的情况报告给应急指挥总指挥及副总指挥。总指挥立即启动应急预案，</w:t>
      </w:r>
      <w:r>
        <w:rPr>
          <w:rFonts w:hint="eastAsia" w:ascii="仿宋" w:hAnsi="仿宋" w:eastAsia="仿宋" w:cs="仿宋"/>
          <w:sz w:val="24"/>
          <w:szCs w:val="24"/>
          <w:lang w:val="zh-CN"/>
        </w:rPr>
        <w:t>指令各应急专业队伍进入应急状态。</w:t>
      </w:r>
    </w:p>
    <w:p>
      <w:pPr>
        <w:widowControl/>
        <w:snapToGrid w:val="0"/>
        <w:spacing w:line="360" w:lineRule="auto"/>
        <w:ind w:firstLine="480" w:firstLineChars="200"/>
        <w:rPr>
          <w:sz w:val="24"/>
          <w:szCs w:val="24"/>
        </w:rPr>
      </w:pPr>
      <w:r>
        <w:rPr>
          <w:rFonts w:hint="eastAsia" w:ascii="仿宋" w:hAnsi="仿宋" w:eastAsia="仿宋"/>
          <w:sz w:val="24"/>
          <w:szCs w:val="24"/>
          <w:lang w:val="zh-CN"/>
        </w:rPr>
        <w:t>Ⅰ级</w:t>
      </w:r>
      <w:r>
        <w:rPr>
          <w:rFonts w:hint="eastAsia" w:ascii="仿宋" w:hAnsi="仿宋" w:eastAsia="仿宋"/>
          <w:kern w:val="11"/>
          <w:sz w:val="24"/>
          <w:szCs w:val="24"/>
        </w:rPr>
        <w:t>预警：班组长立即启动报警，并第一时间将现场事件的发生情况及可能衍生的情况报告给应急指挥总指挥及副总指挥。总指挥立即启动应急预案，同时将现场情况上报莱山区政府，请求外部支援。</w:t>
      </w:r>
    </w:p>
    <w:p>
      <w:pPr>
        <w:snapToGrid w:val="0"/>
        <w:spacing w:line="360" w:lineRule="auto"/>
        <w:ind w:firstLine="560" w:firstLineChars="200"/>
        <w:outlineLvl w:val="2"/>
        <w:rPr>
          <w:rFonts w:ascii="仿宋_GB2312" w:hAnsi="华文细黑" w:eastAsia="仿宋_GB2312"/>
          <w:sz w:val="28"/>
          <w:szCs w:val="28"/>
        </w:rPr>
      </w:pPr>
      <w:bookmarkStart w:id="108" w:name="_Toc1971"/>
      <w:bookmarkStart w:id="109" w:name="_Toc224965879"/>
      <w:bookmarkStart w:id="110" w:name="_Toc225244060"/>
      <w:bookmarkStart w:id="111" w:name="_Toc410289788"/>
      <w:r>
        <w:rPr>
          <w:rFonts w:hint="eastAsia" w:ascii="仿宋_GB2312" w:hAnsi="华文细黑" w:eastAsia="仿宋_GB2312"/>
          <w:sz w:val="28"/>
          <w:szCs w:val="28"/>
        </w:rPr>
        <w:t>5.3.4预警措施</w:t>
      </w:r>
      <w:bookmarkEnd w:id="108"/>
    </w:p>
    <w:p>
      <w:pPr>
        <w:snapToGrid w:val="0"/>
        <w:spacing w:line="360" w:lineRule="auto"/>
        <w:ind w:firstLine="480" w:firstLineChars="200"/>
        <w:jc w:val="left"/>
        <w:rPr>
          <w:rFonts w:ascii="仿宋" w:hAnsi="仿宋" w:eastAsia="仿宋" w:cs="仿宋"/>
          <w:kern w:val="11"/>
          <w:sz w:val="24"/>
          <w:szCs w:val="24"/>
        </w:rPr>
      </w:pPr>
      <w:r>
        <w:rPr>
          <w:rFonts w:hint="eastAsia" w:ascii="仿宋" w:hAnsi="仿宋" w:eastAsia="仿宋" w:cs="仿宋"/>
          <w:kern w:val="11"/>
          <w:sz w:val="24"/>
          <w:szCs w:val="24"/>
        </w:rPr>
        <w:t>橙色（Ⅰ级）预警行动：公司应急指挥部领导接到预警通知，立即佩戴好个体防护用品后，赶到事件现场，根据现场事件发展趋势，确定启动专项应急预案，如可能发生的环境事件特别严重，公司应急指挥部及时向北沟镇政府部门报告，由政府领导决定后发布预警公告。</w:t>
      </w:r>
    </w:p>
    <w:p>
      <w:pPr>
        <w:snapToGrid w:val="0"/>
        <w:spacing w:line="360" w:lineRule="auto"/>
        <w:ind w:firstLine="480" w:firstLineChars="200"/>
        <w:jc w:val="left"/>
        <w:rPr>
          <w:rFonts w:ascii="仿宋" w:hAnsi="仿宋" w:eastAsia="仿宋" w:cs="仿宋"/>
          <w:kern w:val="11"/>
          <w:sz w:val="24"/>
          <w:szCs w:val="24"/>
        </w:rPr>
      </w:pPr>
      <w:r>
        <w:rPr>
          <w:rFonts w:hint="eastAsia" w:ascii="仿宋" w:hAnsi="仿宋" w:eastAsia="仿宋" w:cs="仿宋"/>
          <w:kern w:val="11"/>
          <w:sz w:val="24"/>
          <w:szCs w:val="24"/>
        </w:rPr>
        <w:t>黄色（Ⅱ级）预警行动：公司应急指挥部领导接到预警通知，立即佩戴好个体防护用品后，赶到事件现场，根据现场事件发展趋势，确定启动专项应急预案，通知专项应急人员立即佩戴好个体防护用品后，赶到事件现场进行抢险。</w:t>
      </w:r>
    </w:p>
    <w:p>
      <w:pPr>
        <w:widowControl/>
        <w:snapToGrid w:val="0"/>
        <w:spacing w:line="360" w:lineRule="auto"/>
        <w:ind w:firstLine="480" w:firstLineChars="200"/>
        <w:jc w:val="left"/>
      </w:pPr>
      <w:r>
        <w:rPr>
          <w:rFonts w:hint="eastAsia" w:ascii="仿宋" w:hAnsi="仿宋" w:eastAsia="仿宋"/>
          <w:kern w:val="11"/>
          <w:sz w:val="24"/>
          <w:szCs w:val="24"/>
        </w:rPr>
        <w:t>蓝色（Ⅲ级）预警行动：现场人员立即报告本班班组长，班组长立即组织现场应急处置，并视现场处理情况，若事件有扩大趋势，应立即</w:t>
      </w:r>
      <w:r>
        <w:rPr>
          <w:rFonts w:hint="eastAsia" w:ascii="仿宋" w:hAnsi="仿宋" w:eastAsia="仿宋"/>
          <w:sz w:val="24"/>
          <w:szCs w:val="24"/>
        </w:rPr>
        <w:t>报告应急指挥部领导。</w:t>
      </w:r>
    </w:p>
    <w:p>
      <w:pPr>
        <w:snapToGrid w:val="0"/>
        <w:spacing w:line="360" w:lineRule="auto"/>
        <w:ind w:firstLine="560" w:firstLineChars="200"/>
        <w:outlineLvl w:val="1"/>
        <w:rPr>
          <w:rFonts w:ascii="仿宋_GB2312" w:hAnsi="华文细黑" w:eastAsia="仿宋_GB2312"/>
          <w:sz w:val="28"/>
          <w:szCs w:val="28"/>
        </w:rPr>
      </w:pPr>
      <w:bookmarkStart w:id="112" w:name="_Toc25774"/>
      <w:r>
        <w:rPr>
          <w:rFonts w:hint="eastAsia" w:ascii="仿宋_GB2312" w:hAnsi="华文细黑" w:eastAsia="仿宋_GB2312"/>
          <w:sz w:val="28"/>
          <w:szCs w:val="28"/>
        </w:rPr>
        <w:t xml:space="preserve">5.4 </w:t>
      </w:r>
      <w:bookmarkEnd w:id="109"/>
      <w:bookmarkEnd w:id="110"/>
      <w:bookmarkEnd w:id="111"/>
      <w:r>
        <w:rPr>
          <w:rFonts w:hint="eastAsia" w:ascii="仿宋_GB2312" w:hAnsi="华文细黑" w:eastAsia="仿宋_GB2312"/>
          <w:sz w:val="28"/>
          <w:szCs w:val="28"/>
        </w:rPr>
        <w:t>预警、调整与解除</w:t>
      </w:r>
      <w:bookmarkEnd w:id="112"/>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当事故不受控制，甚至有向更高级别的事件扩大的趋势时，现场指挥人员应及时提高预警等级。</w:t>
      </w:r>
    </w:p>
    <w:p>
      <w:pPr>
        <w:widowControl/>
        <w:snapToGrid w:val="0"/>
        <w:spacing w:line="360" w:lineRule="auto"/>
        <w:ind w:firstLine="480" w:firstLineChars="200"/>
        <w:rPr>
          <w:sz w:val="24"/>
          <w:szCs w:val="24"/>
        </w:rPr>
      </w:pPr>
      <w:r>
        <w:rPr>
          <w:rFonts w:hint="eastAsia" w:ascii="仿宋" w:hAnsi="仿宋" w:eastAsia="仿宋"/>
          <w:kern w:val="11"/>
          <w:sz w:val="24"/>
          <w:szCs w:val="24"/>
        </w:rPr>
        <w:t>当事故得到完全解除，事故条件已经消除，事件所造成的危害已经被彻底消除，无续发的可能，事故危害程度已消除，由公司突发环境事故应急指挥组总指挥确认并同意后解除，方式有召开会议、下发文件通知、电话通知等形式。</w:t>
      </w:r>
    </w:p>
    <w:p>
      <w:pPr>
        <w:snapToGrid w:val="0"/>
        <w:spacing w:line="360" w:lineRule="auto"/>
        <w:jc w:val="center"/>
        <w:outlineLvl w:val="0"/>
        <w:rPr>
          <w:rFonts w:ascii="仿宋_GB2312" w:hAnsi="华文细黑" w:eastAsia="仿宋_GB2312"/>
          <w:b/>
          <w:sz w:val="28"/>
          <w:szCs w:val="28"/>
        </w:rPr>
      </w:pPr>
      <w:bookmarkStart w:id="113" w:name="_Toc224965882"/>
      <w:bookmarkStart w:id="114" w:name="_Toc225244062"/>
      <w:bookmarkStart w:id="115" w:name="_Toc410289794"/>
      <w:r>
        <w:rPr>
          <w:rFonts w:hint="eastAsia" w:ascii="仿宋_GB2312" w:hAnsi="华文细黑" w:eastAsia="仿宋_GB2312"/>
          <w:b/>
          <w:sz w:val="32"/>
          <w:szCs w:val="32"/>
        </w:rPr>
        <w:br w:type="page"/>
      </w:r>
      <w:bookmarkStart w:id="116" w:name="_Toc30216"/>
      <w:r>
        <w:rPr>
          <w:rFonts w:hint="eastAsia" w:ascii="仿宋_GB2312" w:hAnsi="华文细黑" w:eastAsia="仿宋_GB2312"/>
          <w:b/>
          <w:sz w:val="32"/>
          <w:szCs w:val="32"/>
        </w:rPr>
        <w:t>6 应急</w:t>
      </w:r>
      <w:bookmarkEnd w:id="113"/>
      <w:bookmarkEnd w:id="114"/>
      <w:bookmarkEnd w:id="115"/>
      <w:r>
        <w:rPr>
          <w:rFonts w:hint="eastAsia" w:ascii="仿宋_GB2312" w:hAnsi="华文细黑" w:eastAsia="仿宋_GB2312"/>
          <w:b/>
          <w:sz w:val="32"/>
          <w:szCs w:val="32"/>
        </w:rPr>
        <w:t>处置</w:t>
      </w:r>
      <w:bookmarkEnd w:id="116"/>
    </w:p>
    <w:p>
      <w:pPr>
        <w:snapToGrid w:val="0"/>
        <w:spacing w:line="360" w:lineRule="auto"/>
        <w:ind w:firstLine="560" w:firstLineChars="200"/>
        <w:outlineLvl w:val="1"/>
        <w:rPr>
          <w:rFonts w:ascii="仿宋_GB2312" w:hAnsi="华文细黑" w:eastAsia="仿宋_GB2312"/>
          <w:sz w:val="28"/>
          <w:szCs w:val="28"/>
        </w:rPr>
      </w:pPr>
      <w:bookmarkStart w:id="117" w:name="_Toc20939"/>
      <w:bookmarkStart w:id="118" w:name="_Toc410289795"/>
      <w:bookmarkStart w:id="119" w:name="_Toc224965883"/>
      <w:bookmarkStart w:id="120" w:name="_Toc225244063"/>
      <w:r>
        <w:rPr>
          <w:rFonts w:hint="eastAsia" w:ascii="仿宋_GB2312" w:hAnsi="华文细黑" w:eastAsia="仿宋_GB2312"/>
          <w:sz w:val="28"/>
          <w:szCs w:val="28"/>
        </w:rPr>
        <w:t>6.1应急响应</w:t>
      </w:r>
      <w:bookmarkEnd w:id="117"/>
    </w:p>
    <w:p>
      <w:pPr>
        <w:snapToGrid w:val="0"/>
        <w:spacing w:line="360" w:lineRule="auto"/>
        <w:ind w:firstLine="560" w:firstLineChars="200"/>
        <w:outlineLvl w:val="2"/>
        <w:rPr>
          <w:rFonts w:ascii="仿宋_GB2312" w:hAnsi="华文细黑" w:eastAsia="仿宋_GB2312"/>
          <w:sz w:val="28"/>
          <w:szCs w:val="28"/>
        </w:rPr>
      </w:pPr>
      <w:bookmarkStart w:id="121" w:name="_Toc13568"/>
      <w:r>
        <w:rPr>
          <w:rFonts w:hint="eastAsia" w:ascii="仿宋_GB2312" w:hAnsi="华文细黑" w:eastAsia="仿宋_GB2312"/>
          <w:sz w:val="28"/>
          <w:szCs w:val="28"/>
        </w:rPr>
        <w:t>6.1.1分级响应</w:t>
      </w:r>
      <w:bookmarkEnd w:id="121"/>
    </w:p>
    <w:bookmarkEnd w:id="118"/>
    <w:bookmarkEnd w:id="119"/>
    <w:bookmarkEnd w:id="120"/>
    <w:p>
      <w:pPr>
        <w:snapToGrid w:val="0"/>
        <w:spacing w:line="360" w:lineRule="auto"/>
        <w:ind w:firstLine="480" w:firstLineChars="200"/>
        <w:rPr>
          <w:rFonts w:ascii="仿宋" w:hAnsi="仿宋" w:eastAsia="仿宋" w:cs="仿宋"/>
          <w:kern w:val="11"/>
          <w:sz w:val="24"/>
          <w:szCs w:val="24"/>
        </w:rPr>
      </w:pPr>
      <w:bookmarkStart w:id="122" w:name="_Toc224965884"/>
      <w:bookmarkStart w:id="123" w:name="_Toc225244064"/>
      <w:bookmarkStart w:id="124" w:name="_Toc410289796"/>
      <w:r>
        <w:rPr>
          <w:rFonts w:hint="eastAsia" w:ascii="仿宋" w:hAnsi="仿宋" w:eastAsia="仿宋" w:cs="仿宋"/>
          <w:kern w:val="11"/>
          <w:sz w:val="24"/>
          <w:szCs w:val="24"/>
        </w:rPr>
        <w:t>针对突发环境事件的严重性、紧急程度、危害程度、影响范围及需要投入的应急救援力量，将本预案的响应分为三级。</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(1)一级响应：</w:t>
      </w:r>
      <w:r>
        <w:rPr>
          <w:rFonts w:hint="eastAsia" w:ascii="仿宋" w:hAnsi="仿宋" w:eastAsia="仿宋" w:cs="仿宋"/>
          <w:sz w:val="24"/>
          <w:szCs w:val="24"/>
        </w:rPr>
        <w:t>以公司应急救援指挥部组织抢救为主，外部救援队伍为辅，</w:t>
      </w:r>
      <w:r>
        <w:rPr>
          <w:rFonts w:hint="eastAsia" w:ascii="仿宋" w:hAnsi="仿宋" w:eastAsia="仿宋" w:cs="仿宋"/>
          <w:kern w:val="11"/>
          <w:sz w:val="24"/>
          <w:szCs w:val="24"/>
        </w:rPr>
        <w:t>如政府派专家、资源进行支援的事故。</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kern w:val="11"/>
          <w:sz w:val="24"/>
          <w:szCs w:val="24"/>
        </w:rPr>
        <w:t>(2)二级响应：</w:t>
      </w:r>
      <w:r>
        <w:rPr>
          <w:rFonts w:hint="eastAsia" w:ascii="仿宋" w:hAnsi="仿宋" w:eastAsia="仿宋" w:cs="仿宋"/>
          <w:sz w:val="24"/>
          <w:szCs w:val="24"/>
        </w:rPr>
        <w:t>以本公司应急救援指挥部组织抢救为主，各救援队伍予以密彻配合。</w:t>
      </w:r>
    </w:p>
    <w:p>
      <w:pPr>
        <w:widowControl/>
        <w:snapToGrid w:val="0"/>
        <w:spacing w:line="360" w:lineRule="auto"/>
        <w:ind w:firstLine="480" w:firstLineChars="200"/>
      </w:pPr>
      <w:r>
        <w:rPr>
          <w:rFonts w:hint="eastAsia" w:ascii="仿宋" w:hAnsi="仿宋" w:eastAsia="仿宋"/>
          <w:kern w:val="11"/>
          <w:sz w:val="24"/>
          <w:szCs w:val="24"/>
        </w:rPr>
        <w:t>(3)三级响应：以车间抢救为主，其他岗位人员及相关救援队伍密切配合。</w:t>
      </w:r>
    </w:p>
    <w:p>
      <w:pPr>
        <w:snapToGrid w:val="0"/>
        <w:spacing w:line="360" w:lineRule="auto"/>
        <w:ind w:firstLine="560" w:firstLineChars="200"/>
        <w:outlineLvl w:val="2"/>
        <w:rPr>
          <w:rFonts w:ascii="仿宋_GB2312" w:hAnsi="华文细黑" w:eastAsia="仿宋_GB2312"/>
          <w:sz w:val="28"/>
          <w:szCs w:val="28"/>
        </w:rPr>
      </w:pPr>
      <w:bookmarkStart w:id="125" w:name="_Toc30232"/>
      <w:r>
        <w:rPr>
          <w:rFonts w:hint="eastAsia" w:ascii="仿宋_GB2312" w:hAnsi="华文细黑" w:eastAsia="仿宋_GB2312"/>
          <w:sz w:val="28"/>
          <w:szCs w:val="28"/>
        </w:rPr>
        <w:t>6.1.2响应程序</w:t>
      </w:r>
      <w:bookmarkEnd w:id="125"/>
    </w:p>
    <w:p>
      <w:pPr>
        <w:snapToGrid w:val="0"/>
        <w:spacing w:line="360" w:lineRule="auto"/>
        <w:ind w:firstLine="560" w:firstLineChars="200"/>
        <w:outlineLvl w:val="2"/>
        <w:rPr>
          <w:rFonts w:ascii="仿宋_GB2312" w:hAnsi="华文细黑" w:eastAsia="仿宋_GB2312"/>
          <w:kern w:val="11"/>
          <w:sz w:val="28"/>
          <w:szCs w:val="28"/>
        </w:rPr>
      </w:pPr>
      <w:bookmarkStart w:id="126" w:name="_Toc18458"/>
      <w:r>
        <w:rPr>
          <w:rFonts w:hint="eastAsia" w:ascii="仿宋_GB2312" w:hAnsi="华文细黑" w:eastAsia="仿宋_GB2312"/>
          <w:sz w:val="28"/>
          <w:szCs w:val="28"/>
        </w:rPr>
        <w:t>6.1.2.1响应的启动条件</w:t>
      </w:r>
      <w:bookmarkEnd w:id="126"/>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即将发生或已经发生以下事故时，应立即启动应急预案：</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①危险化学品泄漏可能引发火灾、爆炸、中毒事故；</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②火灾蔓延，可能导致其他区域材料起火或导致热引发的爆炸；</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③火灾蔓延至厂区外</w:t>
      </w:r>
    </w:p>
    <w:p>
      <w:pPr>
        <w:snapToGrid w:val="0"/>
        <w:spacing w:line="360" w:lineRule="auto"/>
        <w:ind w:firstLine="480" w:firstLineChars="200"/>
        <w:rPr>
          <w:rFonts w:ascii="仿宋_GB2312" w:hAnsi="华文细黑" w:eastAsia="仿宋_GB2312"/>
          <w:kern w:val="11"/>
          <w:sz w:val="28"/>
          <w:szCs w:val="28"/>
        </w:rPr>
      </w:pPr>
      <w:r>
        <w:rPr>
          <w:rFonts w:hint="eastAsia" w:ascii="仿宋_GB2312" w:hAnsi="华文细黑" w:eastAsia="仿宋_GB2312"/>
          <w:kern w:val="11"/>
          <w:sz w:val="24"/>
          <w:szCs w:val="24"/>
        </w:rPr>
        <w:t>④使用水或化学灭火剂可能产生被污染的水流</w:t>
      </w:r>
    </w:p>
    <w:p>
      <w:pPr>
        <w:snapToGrid w:val="0"/>
        <w:spacing w:line="360" w:lineRule="auto"/>
        <w:ind w:firstLine="560" w:firstLineChars="200"/>
        <w:outlineLvl w:val="2"/>
        <w:rPr>
          <w:rFonts w:ascii="仿宋_GB2312" w:hAnsi="华文细黑" w:eastAsia="仿宋_GB2312"/>
          <w:kern w:val="11"/>
          <w:sz w:val="28"/>
          <w:szCs w:val="28"/>
        </w:rPr>
      </w:pPr>
      <w:bookmarkStart w:id="127" w:name="_Toc20959"/>
      <w:r>
        <w:rPr>
          <w:rFonts w:hint="eastAsia" w:ascii="仿宋_GB2312" w:hAnsi="华文细黑" w:eastAsia="仿宋_GB2312"/>
          <w:sz w:val="28"/>
          <w:szCs w:val="28"/>
        </w:rPr>
        <w:t>6.1.2.2响应启动程序</w:t>
      </w:r>
      <w:bookmarkEnd w:id="127"/>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一级响应：应急指挥领导小组接到事故报警后，要在1小时内向蓬莱北沟镇政府、北沟镇化工园区应急办公室、环保、安监、消防、公安、医疗卫生等部门请求支援。</w:t>
      </w:r>
      <w:r>
        <w:rPr>
          <w:rFonts w:hint="eastAsia" w:ascii="仿宋" w:hAnsi="仿宋" w:eastAsia="仿宋" w:cs="仿宋"/>
          <w:sz w:val="24"/>
          <w:szCs w:val="24"/>
        </w:rPr>
        <w:t>启动公司应急预案</w:t>
      </w:r>
      <w:r>
        <w:rPr>
          <w:rFonts w:hint="eastAsia" w:ascii="仿宋" w:hAnsi="仿宋" w:eastAsia="仿宋" w:cs="仿宋_GB2312"/>
          <w:sz w:val="24"/>
          <w:szCs w:val="24"/>
        </w:rPr>
        <w:t>采取先期应急措施。</w:t>
      </w:r>
      <w:r>
        <w:rPr>
          <w:rFonts w:hint="eastAsia" w:ascii="仿宋" w:hAnsi="仿宋" w:eastAsia="仿宋" w:cs="仿宋"/>
          <w:sz w:val="24"/>
          <w:szCs w:val="24"/>
        </w:rPr>
        <w:t>同时，由上级部门启动预案，实行预案对接，组织实施救援。</w:t>
      </w:r>
    </w:p>
    <w:p>
      <w:pPr>
        <w:snapToGrid w:val="0"/>
        <w:spacing w:line="360" w:lineRule="auto"/>
        <w:ind w:firstLine="480" w:firstLineChars="200"/>
        <w:rPr>
          <w:rFonts w:ascii="仿宋" w:hAnsi="仿宋" w:eastAsia="仿宋" w:cs="仿宋_GB2312"/>
          <w:color w:val="FF0000"/>
          <w:sz w:val="24"/>
          <w:szCs w:val="24"/>
        </w:rPr>
      </w:pPr>
      <w:r>
        <w:rPr>
          <w:rFonts w:hint="eastAsia" w:ascii="仿宋" w:hAnsi="仿宋" w:eastAsia="仿宋" w:cs="仿宋"/>
          <w:kern w:val="11"/>
          <w:sz w:val="24"/>
          <w:szCs w:val="24"/>
        </w:rPr>
        <w:t>二级响应：应急指挥领导小组接到事故报警后，启动公司专项应急预案，组织实施救援。</w:t>
      </w:r>
    </w:p>
    <w:p>
      <w:pPr>
        <w:widowControl/>
        <w:snapToGrid w:val="0"/>
        <w:spacing w:line="360" w:lineRule="auto"/>
        <w:ind w:firstLine="480" w:firstLineChars="200"/>
      </w:pPr>
      <w:r>
        <w:rPr>
          <w:rFonts w:hint="eastAsia" w:ascii="仿宋" w:hAnsi="仿宋" w:eastAsia="仿宋"/>
          <w:kern w:val="11"/>
          <w:sz w:val="24"/>
          <w:szCs w:val="24"/>
        </w:rPr>
        <w:t>三级响应：</w:t>
      </w:r>
      <w:r>
        <w:rPr>
          <w:rFonts w:hint="eastAsia" w:ascii="仿宋" w:hAnsi="仿宋" w:eastAsia="仿宋"/>
          <w:sz w:val="24"/>
          <w:szCs w:val="24"/>
        </w:rPr>
        <w:t>现场人员可通过</w:t>
      </w:r>
      <w:r>
        <w:rPr>
          <w:rFonts w:hint="eastAsia" w:ascii="仿宋" w:hAnsi="仿宋" w:eastAsia="仿宋" w:cs="仿宋_GB2312"/>
          <w:sz w:val="24"/>
          <w:szCs w:val="24"/>
        </w:rPr>
        <w:t>自身应急能力处理，</w:t>
      </w:r>
      <w:r>
        <w:rPr>
          <w:rFonts w:hint="eastAsia" w:ascii="仿宋" w:hAnsi="仿宋" w:eastAsia="仿宋"/>
          <w:sz w:val="24"/>
          <w:szCs w:val="24"/>
        </w:rPr>
        <w:t>组织自救，抢救伤者、处理事故。</w:t>
      </w:r>
    </w:p>
    <w:p>
      <w:pPr>
        <w:snapToGrid w:val="0"/>
        <w:spacing w:line="360" w:lineRule="auto"/>
        <w:ind w:firstLine="560" w:firstLineChars="200"/>
        <w:outlineLvl w:val="2"/>
        <w:rPr>
          <w:rFonts w:ascii="仿宋" w:hAnsi="仿宋" w:eastAsia="仿宋" w:cs="仿宋"/>
          <w:sz w:val="28"/>
          <w:szCs w:val="28"/>
        </w:rPr>
      </w:pPr>
      <w:bookmarkStart w:id="128" w:name="_Toc13854"/>
      <w:r>
        <w:rPr>
          <w:rFonts w:hint="eastAsia" w:ascii="仿宋" w:hAnsi="仿宋" w:eastAsia="仿宋" w:cs="仿宋"/>
          <w:sz w:val="28"/>
          <w:szCs w:val="28"/>
        </w:rPr>
        <w:t>6.1.3应急结束</w:t>
      </w:r>
      <w:bookmarkEnd w:id="128"/>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当事件得到完全控制，相关生产单元已经彻底处理完毕，环境符合标准，导致次生、衍生事件隐患消除后，由指挥中心决定，并由总指挥统一下达事件应急结束命令。符合下列条件即满足应急解除：</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（1）事件现场得到控制，事件条件已经消除。</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（2）事件所造成的危害已经被彻底消除，无继发可能。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（3）采取了必要的防护措施以保护公众免受再次危害，并使可能引起的中长期影响趋于正常。</w:t>
      </w:r>
    </w:p>
    <w:p>
      <w:pPr>
        <w:widowControl/>
        <w:snapToGrid w:val="0"/>
        <w:spacing w:line="360" w:lineRule="auto"/>
        <w:ind w:firstLine="480" w:firstLineChars="200"/>
      </w:pPr>
      <w:r>
        <w:rPr>
          <w:rFonts w:hint="eastAsia" w:ascii="仿宋" w:hAnsi="仿宋" w:eastAsia="仿宋"/>
          <w:kern w:val="11"/>
          <w:sz w:val="24"/>
          <w:szCs w:val="24"/>
        </w:rPr>
        <w:t>应急行动结束后，指挥中心按照程序要求进行事件情况上报和事件原因调查、整改，完成事件应急救援工作总结报告。</w:t>
      </w:r>
    </w:p>
    <w:p>
      <w:pPr>
        <w:snapToGrid w:val="0"/>
        <w:spacing w:line="360" w:lineRule="auto"/>
        <w:ind w:firstLine="560" w:firstLineChars="200"/>
        <w:outlineLvl w:val="1"/>
        <w:rPr>
          <w:rFonts w:ascii="仿宋_GB2312" w:hAnsi="华文细黑" w:eastAsia="仿宋_GB2312"/>
          <w:sz w:val="28"/>
          <w:szCs w:val="28"/>
        </w:rPr>
      </w:pPr>
      <w:bookmarkStart w:id="129" w:name="_Toc16874"/>
      <w:r>
        <w:rPr>
          <w:rFonts w:hint="eastAsia" w:ascii="仿宋_GB2312" w:hAnsi="华文细黑" w:eastAsia="仿宋_GB2312"/>
          <w:sz w:val="28"/>
          <w:szCs w:val="28"/>
        </w:rPr>
        <w:t>6.2应急处置措施</w:t>
      </w:r>
      <w:bookmarkEnd w:id="129"/>
    </w:p>
    <w:p>
      <w:pPr>
        <w:snapToGrid w:val="0"/>
        <w:spacing w:line="360" w:lineRule="auto"/>
        <w:ind w:firstLine="560" w:firstLineChars="200"/>
        <w:outlineLvl w:val="1"/>
        <w:rPr>
          <w:rFonts w:ascii="仿宋_GB2312" w:hAnsi="华文细黑" w:eastAsia="仿宋_GB2312"/>
          <w:sz w:val="28"/>
          <w:szCs w:val="28"/>
        </w:rPr>
      </w:pPr>
      <w:bookmarkStart w:id="130" w:name="_Toc32095"/>
      <w:r>
        <w:rPr>
          <w:rFonts w:hint="eastAsia" w:ascii="仿宋" w:hAnsi="仿宋" w:eastAsia="仿宋" w:cs="仿宋"/>
          <w:sz w:val="28"/>
          <w:szCs w:val="28"/>
        </w:rPr>
        <w:t>6.2.1突发环境事件应急处置措施</w:t>
      </w:r>
      <w:bookmarkEnd w:id="130"/>
    </w:p>
    <w:bookmarkEnd w:id="122"/>
    <w:bookmarkEnd w:id="123"/>
    <w:bookmarkEnd w:id="124"/>
    <w:p>
      <w:pPr>
        <w:snapToGrid w:val="0"/>
        <w:spacing w:line="360" w:lineRule="auto"/>
        <w:ind w:firstLine="562" w:firstLineChars="200"/>
        <w:rPr>
          <w:rFonts w:ascii="仿宋_GB2312" w:hAnsi="华文细黑" w:eastAsia="仿宋_GB2312"/>
          <w:b/>
          <w:kern w:val="11"/>
          <w:sz w:val="28"/>
          <w:szCs w:val="28"/>
        </w:rPr>
      </w:pPr>
      <w:r>
        <w:rPr>
          <w:rFonts w:hint="eastAsia" w:ascii="仿宋_GB2312" w:hAnsi="华文细黑" w:eastAsia="仿宋_GB2312"/>
          <w:b/>
          <w:kern w:val="11"/>
          <w:sz w:val="28"/>
          <w:szCs w:val="28"/>
        </w:rPr>
        <w:t>一、储罐区、危化品仓库、装卸站物料泄漏应急处置措施</w:t>
      </w:r>
    </w:p>
    <w:p>
      <w:pPr>
        <w:tabs>
          <w:tab w:val="left" w:pos="1299"/>
        </w:tabs>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）泄漏事故发生后，由专人负责关闭厂区雨水排放口与污水排放口阀门，预防泄漏物料随管道排至外环境。发现事故人员</w:t>
      </w:r>
      <w:r>
        <w:rPr>
          <w:rFonts w:hint="eastAsia" w:ascii="仿宋" w:hAnsi="仿宋" w:eastAsia="仿宋" w:cs="仿宋"/>
          <w:sz w:val="24"/>
          <w:szCs w:val="24"/>
        </w:rPr>
        <w:t>立即通知本班班长，由当班班长通知相关部门前来维修，同时通知厂应急指挥小组，现场根据具体情况，在保证人身安全的前提下，注意做好防火准备；假设储罐发生大面积泄漏时，通知当班班长，实施生产设施紧急停车，切断电源，关闭供气气源阀，以防止泄漏加大，造成更大的危害；在保证人身安全的前提下，注意做好防火准备；</w:t>
      </w:r>
      <w:r>
        <w:rPr>
          <w:rFonts w:ascii="仿宋" w:hAnsi="仿宋" w:eastAsia="仿宋" w:cs="仿宋"/>
          <w:sz w:val="24"/>
          <w:szCs w:val="24"/>
        </w:rPr>
        <w:t>进入现场救援人员必须配备必要的个人防护器具。</w:t>
      </w:r>
    </w:p>
    <w:p>
      <w:pPr>
        <w:tabs>
          <w:tab w:val="left" w:pos="1299"/>
        </w:tabs>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如果泄漏物属易燃易爆品，事故中心区应严禁火种、切断电源、禁止车辆进入、立即在边界设置警戒线；根据事故情况和事故发展，确定事故波及区人员的撤离。</w:t>
      </w:r>
    </w:p>
    <w:p>
      <w:pPr>
        <w:tabs>
          <w:tab w:val="left" w:pos="1299"/>
        </w:tabs>
        <w:adjustRightInd w:val="0"/>
        <w:snapToGrid w:val="0"/>
        <w:spacing w:line="360" w:lineRule="auto"/>
        <w:ind w:firstLine="480" w:firstLineChars="200"/>
        <w:rPr>
          <w:sz w:val="24"/>
        </w:rPr>
      </w:pPr>
      <w:r>
        <w:rPr>
          <w:rFonts w:ascii="仿宋" w:hAnsi="仿宋" w:eastAsia="仿宋" w:cs="仿宋"/>
          <w:sz w:val="24"/>
          <w:szCs w:val="24"/>
        </w:rPr>
        <w:t>如果泄漏物属有毒物品，应使用专用防护服、隔绝式空气面具；为了在现场上能正确使用和适应，平时应进行严格的适应性训练；立即在事故中心区边界设置警戒线。根据事故情况和事故发展，确定事故波及区人员的撤离。</w:t>
      </w:r>
    </w:p>
    <w:p>
      <w:pPr>
        <w:tabs>
          <w:tab w:val="left" w:pos="1299"/>
        </w:tabs>
        <w:adjustRightInd w:val="0"/>
        <w:snapToGrid w:val="0"/>
        <w:spacing w:line="360" w:lineRule="auto"/>
        <w:ind w:firstLine="480" w:firstLineChars="200"/>
        <w:rPr>
          <w:rFonts w:hint="eastAsia" w:ascii="仿宋" w:hAnsi="仿宋" w:eastAsia="仿宋" w:cs="仿宋"/>
          <w:sz w:val="24"/>
          <w:szCs w:val="24"/>
          <w:lang w:eastAsia="zh-CN"/>
        </w:rPr>
      </w:pPr>
      <w:r>
        <w:rPr>
          <w:rFonts w:ascii="仿宋" w:hAnsi="仿宋" w:eastAsia="仿宋" w:cs="仿宋"/>
          <w:sz w:val="24"/>
          <w:szCs w:val="24"/>
        </w:rPr>
        <w:t>应急处理时严禁单独行动，要有监护人，必要时用水枪、水炮掩护。</w:t>
      </w:r>
    </w:p>
    <w:p>
      <w:pPr>
        <w:tabs>
          <w:tab w:val="left" w:pos="1299"/>
        </w:tabs>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w:t>
      </w:r>
      <w:r>
        <w:rPr>
          <w:rFonts w:hint="eastAsia" w:ascii="仿宋" w:hAnsi="仿宋" w:eastAsia="仿宋" w:cs="仿宋"/>
          <w:sz w:val="24"/>
          <w:szCs w:val="24"/>
          <w:lang w:val="en-US" w:eastAsia="zh-CN"/>
        </w:rPr>
        <w:t>2</w:t>
      </w:r>
      <w:r>
        <w:rPr>
          <w:rFonts w:ascii="仿宋" w:hAnsi="仿宋" w:eastAsia="仿宋" w:cs="仿宋"/>
          <w:sz w:val="24"/>
          <w:szCs w:val="24"/>
        </w:rPr>
        <w:t>）泄漏物处理</w:t>
      </w:r>
    </w:p>
    <w:p>
      <w:pPr>
        <w:tabs>
          <w:tab w:val="left" w:pos="1299"/>
        </w:tabs>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eastAsia="zh-CN"/>
        </w:rPr>
        <w:t>危化品仓库、罐区及生产装置发生物料泄漏后，泄漏物料由厂区污水管网排至厂区北部的事故水池，事故处理完毕后，分批打入污水处理站进行处理，处理达标后排市政污水管网。</w:t>
      </w:r>
    </w:p>
    <w:p>
      <w:pPr>
        <w:tabs>
          <w:tab w:val="left" w:pos="1299"/>
        </w:tabs>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稀释与覆盖：向有害物蒸气云喷射雾状水，加速气体向高空扩散。对于可燃物，也可以在现场施放大量水蒸气或氮气，破坏燃烧条件。对于液体泄漏，为降低物料向大气中的蒸发速度，可用泡沫或其他覆盖物品覆盖外泄的物料，在其表面形成覆盖层，抑制其蒸发。</w:t>
      </w:r>
    </w:p>
    <w:p>
      <w:pPr>
        <w:tabs>
          <w:tab w:val="left" w:pos="1299"/>
        </w:tabs>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收容(集)：对于大型泄漏，可选择用隔膜泵将泄漏出的物料抽入容器内或槽车内；当泄漏量小时，可用沙子、吸附材料、中和材料等吸收中和。</w:t>
      </w:r>
    </w:p>
    <w:p>
      <w:pPr>
        <w:tabs>
          <w:tab w:val="left" w:pos="1299"/>
        </w:tabs>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废弃：将收集的泄漏物运至废物处理场所处置。用消防水冲洗剩下的少量物料，冲洗水排入污水处理系统处理。</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（4）救护组组织现场的无关人员立即撤离事故现场，对事故现场的受伤人员实行初级救护；</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（5）在蓬莱市消防中队或蓬莱市应急指挥中心人员到达后，将指挥、排险工作移交消防中队或蓬莱市、烟台市应急指挥中心。</w:t>
      </w:r>
    </w:p>
    <w:p>
      <w:pPr>
        <w:snapToGrid w:val="0"/>
        <w:spacing w:line="360" w:lineRule="auto"/>
        <w:ind w:firstLine="562" w:firstLineChars="200"/>
        <w:rPr>
          <w:rFonts w:ascii="仿宋" w:hAnsi="仿宋" w:eastAsia="仿宋" w:cs="仿宋"/>
          <w:color w:val="FF0000"/>
          <w:sz w:val="24"/>
          <w:szCs w:val="24"/>
        </w:rPr>
      </w:pPr>
      <w:r>
        <w:rPr>
          <w:rFonts w:hint="eastAsia" w:ascii="仿宋_GB2312" w:hAnsi="华文细黑" w:eastAsia="仿宋_GB2312"/>
          <w:b/>
          <w:kern w:val="11"/>
          <w:sz w:val="28"/>
          <w:szCs w:val="28"/>
        </w:rPr>
        <w:t>二、物料输送管道和储罐发生泄漏、着火事故应急处置措施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（1）发现有泄漏点立即停车，同时通知本班班长，由当班班长通知厂应急指挥小组；尽快隔离泄漏点所在管线；可能情况下，堵住泄漏源，减少事故影响程度和范围；如物料输送管道和</w:t>
      </w:r>
      <w:r>
        <w:rPr>
          <w:rFonts w:hint="eastAsia" w:ascii="仿宋" w:hAnsi="仿宋" w:eastAsia="仿宋" w:cs="仿宋"/>
          <w:sz w:val="24"/>
          <w:szCs w:val="24"/>
          <w:lang w:eastAsia="zh-CN"/>
        </w:rPr>
        <w:t>反应釜</w:t>
      </w:r>
      <w:r>
        <w:rPr>
          <w:rFonts w:hint="eastAsia" w:ascii="仿宋" w:hAnsi="仿宋" w:eastAsia="仿宋" w:cs="仿宋"/>
          <w:sz w:val="24"/>
          <w:szCs w:val="24"/>
        </w:rPr>
        <w:t>发生较大泄漏，尽可能将泄漏罐中或管道内的物料通过连通管泵入该物料</w:t>
      </w:r>
      <w:r>
        <w:rPr>
          <w:rFonts w:hint="eastAsia" w:ascii="仿宋" w:hAnsi="仿宋" w:eastAsia="仿宋" w:cs="仿宋"/>
          <w:sz w:val="24"/>
          <w:szCs w:val="24"/>
          <w:lang w:eastAsia="zh-CN"/>
        </w:rPr>
        <w:t>备用储罐</w:t>
      </w:r>
      <w:r>
        <w:rPr>
          <w:rFonts w:hint="eastAsia" w:ascii="仿宋" w:hAnsi="仿宋" w:eastAsia="仿宋" w:cs="仿宋"/>
          <w:sz w:val="24"/>
          <w:szCs w:val="24"/>
        </w:rPr>
        <w:t>内；在保证人身安全的前提下，注意做好防火准备；</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（2）厂应急指挥小组根据现场察勘情况，组织各应急小组实施抢险（应急小组人员的自我防护，监视泄漏点，废水管理等）；同时向蓬莱市消防中队、蓬莱市应急指挥中心等相关部门报告；</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（3）警戒组赶到事故现场，放置事故泄漏警示牌，划定警示区域，禁止任何无关人员和车辆进入；进入警戒内域的人员必须佩戴防护面罩或空气呼吸器，并有班组人员陪同；</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（4）救护小组组织现场的无关人员立即撤离事故现场，疏散人群，对事故现场的受伤人员实行初级救护；</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（5）在蓬莱市消防大队或蓬莱市应急指挥中心人员到达后，将指挥、排险工作移交消防中队或市应急指挥中心；</w:t>
      </w:r>
    </w:p>
    <w:p>
      <w:pPr>
        <w:snapToGrid w:val="0"/>
        <w:spacing w:line="360" w:lineRule="auto"/>
        <w:ind w:firstLine="480" w:firstLineChars="200"/>
      </w:pPr>
      <w:r>
        <w:rPr>
          <w:rFonts w:hint="eastAsia" w:ascii="仿宋" w:hAnsi="仿宋" w:eastAsia="仿宋" w:cs="仿宋"/>
          <w:sz w:val="24"/>
          <w:szCs w:val="24"/>
        </w:rPr>
        <w:t>（6）如发生火灾，罐区</w:t>
      </w:r>
      <w:r>
        <w:rPr>
          <w:rFonts w:hint="eastAsia" w:ascii="仿宋" w:hAnsi="仿宋" w:eastAsia="仿宋" w:cs="仿宋"/>
          <w:sz w:val="24"/>
          <w:szCs w:val="24"/>
          <w:lang w:eastAsia="zh-CN"/>
        </w:rPr>
        <w:t>泄漏物料及</w:t>
      </w:r>
      <w:r>
        <w:rPr>
          <w:rFonts w:hint="eastAsia" w:ascii="仿宋" w:hAnsi="仿宋" w:eastAsia="仿宋" w:cs="仿宋"/>
          <w:sz w:val="24"/>
          <w:szCs w:val="24"/>
        </w:rPr>
        <w:t>消防水可临时贮存在罐区围堰和事故池内，渐次加入厂内污水处理站进行处理后、达标排放。</w:t>
      </w:r>
    </w:p>
    <w:p>
      <w:pPr>
        <w:snapToGrid w:val="0"/>
        <w:spacing w:line="360" w:lineRule="auto"/>
        <w:ind w:firstLine="562" w:firstLineChars="200"/>
        <w:rPr>
          <w:rFonts w:ascii="仿宋" w:hAnsi="仿宋" w:eastAsia="仿宋" w:cs="仿宋"/>
          <w:color w:val="FF0000"/>
          <w:sz w:val="24"/>
          <w:szCs w:val="24"/>
        </w:rPr>
      </w:pPr>
      <w:r>
        <w:rPr>
          <w:rFonts w:hint="eastAsia" w:ascii="仿宋_GB2312" w:hAnsi="华文细黑" w:eastAsia="仿宋_GB2312"/>
          <w:b/>
          <w:kern w:val="11"/>
          <w:sz w:val="28"/>
          <w:szCs w:val="28"/>
        </w:rPr>
        <w:t>三、生产装置物料泄漏、火灾事故应急处置措施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（1）发现泄漏者立即通知本班班长，由班长通知厂应急指挥小组，同时采取以下措施；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（2）应急抢险小组依照工艺要求，尽快隔离泄漏点所在管线，并通知运行保障部处理；同时切断火源、关闭不必要的电源，避免发生着火爆炸事故；</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如发生大面积泄漏事故并引发火灾，及时按下现场火警报警按钮，并向当班班长和控制室人员通报；控制室人员确认现场着火部位后向综合协调小组（生产调度长）和应急指挥小组报告；当班班长及时布置操作工打电话向</w:t>
      </w:r>
      <w:r>
        <w:rPr>
          <w:rFonts w:ascii="仿宋" w:hAnsi="仿宋" w:eastAsia="仿宋" w:cs="仿宋"/>
          <w:sz w:val="24"/>
          <w:szCs w:val="24"/>
        </w:rPr>
        <w:t>119</w:t>
      </w:r>
      <w:r>
        <w:rPr>
          <w:rFonts w:hint="eastAsia" w:ascii="仿宋" w:hAnsi="仿宋" w:eastAsia="仿宋" w:cs="仿宋"/>
          <w:sz w:val="24"/>
          <w:szCs w:val="24"/>
        </w:rPr>
        <w:t>报警求救灭火；同时打</w:t>
      </w:r>
      <w:r>
        <w:rPr>
          <w:rFonts w:ascii="仿宋" w:hAnsi="仿宋" w:eastAsia="仿宋" w:cs="仿宋"/>
          <w:sz w:val="24"/>
          <w:szCs w:val="24"/>
        </w:rPr>
        <w:t>120</w:t>
      </w:r>
      <w:r>
        <w:rPr>
          <w:rFonts w:hint="eastAsia" w:ascii="仿宋" w:hAnsi="仿宋" w:eastAsia="仿宋" w:cs="仿宋"/>
          <w:sz w:val="24"/>
          <w:szCs w:val="24"/>
        </w:rPr>
        <w:t>请求医院救护；</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（4）应急抢险小组立即救护受伤人员，将其转移到安全地带</w:t>
      </w:r>
      <w:r>
        <w:rPr>
          <w:rFonts w:hint="eastAsia" w:ascii="仿宋" w:hAnsi="仿宋" w:eastAsia="仿宋" w:cs="仿宋"/>
          <w:sz w:val="24"/>
          <w:szCs w:val="24"/>
          <w:lang w:eastAsia="zh-CN"/>
        </w:rPr>
        <w:t>（上风向）</w:t>
      </w:r>
      <w:r>
        <w:rPr>
          <w:rFonts w:hint="eastAsia" w:ascii="仿宋" w:hAnsi="仿宋" w:eastAsia="仿宋" w:cs="仿宋"/>
          <w:sz w:val="24"/>
          <w:szCs w:val="24"/>
        </w:rPr>
        <w:t>；</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（5）在消防车未到之前，应急抢险小组携带防护服、空气呼吸器到现场，提干粉灭火器、</w:t>
      </w:r>
      <w:r>
        <w:rPr>
          <w:rFonts w:ascii="仿宋" w:hAnsi="仿宋" w:eastAsia="仿宋" w:cs="仿宋"/>
          <w:sz w:val="24"/>
          <w:szCs w:val="24"/>
        </w:rPr>
        <w:t>CO2</w:t>
      </w:r>
      <w:r>
        <w:rPr>
          <w:rFonts w:hint="eastAsia" w:ascii="仿宋" w:hAnsi="仿宋" w:eastAsia="仿宋" w:cs="仿宋"/>
          <w:sz w:val="24"/>
          <w:szCs w:val="24"/>
        </w:rPr>
        <w:t>灭火器扑救；</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（6）警戒组赶到事故现场，放置事故泄漏警示牌，划定警示区域，禁止任何无关人员和车辆进入；进入警戒内域的人员必须佩戴防护面罩或空气呼吸器，并有班组人员陪同；</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（7）救护组组织现场的无关人员立即撤离事故现场，救援事故现场的受伤人员；</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（8）在蓬莱市消防队或蓬莱市应急指挥中心人员到达后，将指挥、排险工作移交消防队或市应急指挥中心。</w:t>
      </w:r>
    </w:p>
    <w:p>
      <w:pPr>
        <w:snapToGrid w:val="0"/>
        <w:spacing w:line="360" w:lineRule="auto"/>
        <w:ind w:firstLine="562" w:firstLineChars="200"/>
        <w:rPr>
          <w:rFonts w:ascii="仿宋" w:hAnsi="仿宋" w:eastAsia="仿宋" w:cs="仿宋"/>
          <w:sz w:val="24"/>
          <w:szCs w:val="24"/>
        </w:rPr>
      </w:pPr>
      <w:r>
        <w:rPr>
          <w:rFonts w:hint="eastAsia" w:ascii="仿宋" w:hAnsi="仿宋" w:eastAsia="仿宋" w:cs="仿宋"/>
          <w:b/>
          <w:bCs/>
          <w:kern w:val="11"/>
          <w:sz w:val="28"/>
          <w:szCs w:val="28"/>
        </w:rPr>
        <w:t>四、火灾、爆炸事故应急处置措施</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（1）火灾事故发生初期采用</w:t>
      </w:r>
      <w:r>
        <w:rPr>
          <w:rFonts w:hint="eastAsia" w:ascii="仿宋" w:hAnsi="仿宋" w:eastAsia="仿宋" w:cs="仿宋"/>
          <w:kern w:val="2"/>
          <w:sz w:val="24"/>
          <w:szCs w:val="24"/>
        </w:rPr>
        <w:t>自动控制消防喷淋系统进行灭火，发生火灾事故后，能自动打开喷头喷水灭火，同时发出火灾报警信号，有效扑灭车间、仓库内初期火灾。</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（2）接到事故通知后，由电工负责立即关闭着火点相关装置、电源，防止事态扩大；由专人负责关闭雨水排放口，防止</w:t>
      </w:r>
      <w:r>
        <w:rPr>
          <w:rFonts w:hint="eastAsia" w:ascii="仿宋" w:hAnsi="仿宋" w:eastAsia="仿宋" w:cs="仿宋"/>
          <w:kern w:val="11"/>
          <w:sz w:val="24"/>
          <w:szCs w:val="24"/>
          <w:lang w:eastAsia="zh-CN"/>
        </w:rPr>
        <w:t>消防水</w:t>
      </w:r>
      <w:r>
        <w:rPr>
          <w:rFonts w:hint="eastAsia" w:ascii="仿宋" w:hAnsi="仿宋" w:eastAsia="仿宋" w:cs="仿宋"/>
          <w:kern w:val="11"/>
          <w:sz w:val="24"/>
          <w:szCs w:val="24"/>
        </w:rPr>
        <w:t>经雨水管网外排。</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sz w:val="24"/>
          <w:szCs w:val="24"/>
        </w:rPr>
        <w:t>（3）划定事故区域，隔离现场，疏散厂区职工，防止二次燃烧及爆炸对职工产生危害。</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（4）事故发生后，立即采取措施，采用泡沫灭火剂或消防沙灭火，并把产生的流质引入事故池。在易发生火灾的区域设置阻火设施，减少连环爆炸发生。并切断泄漏源。同时通知环保部门进行应急监测。</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对烧伤人员进行施救。救援人员对烧伤人员应区别轻重缓急，有条不紊地进行急救。迅速将伤员搬离现场，脱去着火衣物；无法及时脱衣的，就地慢慢滚动或用水浇灭。严禁奔跑呼叫或用双手扑打火烟，以免引起呼吸道和双手烧伤。初救后，速送附近医院。</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（6）通知消防单位，立即切断火源，最大程度上避免火势蔓延到其他装置，避免发生连环爆炸，减少对环境的冲击。同时切断泄漏源，防止进入下水道等限制性空间。</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（7）通知厂内职工以及厂区附近及下风向村民迅速撤离，远离厂址区域或到厂址的上风向，并进行现场隔离，严格限制出入，避免伤亡事故。</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（8）应急处理人员配备自给式呼吸器和消防防护服。</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（9）事故发生后应立即通知当地环境保护局、自来水公司等市政部门，协同事故救援与监控，最大限度地减轻事故对环境的危害。</w:t>
      </w:r>
    </w:p>
    <w:p>
      <w:pPr>
        <w:snapToGrid w:val="0"/>
        <w:spacing w:line="360" w:lineRule="auto"/>
        <w:ind w:firstLine="562" w:firstLineChars="200"/>
        <w:rPr>
          <w:rFonts w:ascii="仿宋_GB2312" w:hAnsi="华文细黑" w:eastAsia="仿宋_GB2312"/>
          <w:sz w:val="28"/>
          <w:szCs w:val="28"/>
        </w:rPr>
      </w:pPr>
      <w:r>
        <w:rPr>
          <w:rFonts w:hint="eastAsia" w:ascii="仿宋" w:hAnsi="仿宋" w:eastAsia="仿宋" w:cs="仿宋"/>
          <w:b/>
          <w:bCs/>
          <w:sz w:val="28"/>
          <w:szCs w:val="28"/>
        </w:rPr>
        <w:t>五、中毒事故应急处置措施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（1）迅速将伤员脱离现场，移至通风良好处，脱下中毒时所着衣服鞋袜，注意给病人保暖，并让其安静休息。</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抢救中应当注意，氯中毒病人有呼吸困难时，不应采用徒手式的压胸等人工呼吸方法。这是因为氯对上呼吸道粘膜具有强烈刺激，引起支气管肺炎甚至肺水肿，这种压式的人工呼吸方法会使炎症、肺水肿加重，有害无益。</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（3）对中毒较重的病人，可应用抗生素预防感染。</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（4）急性中毒时需合理氧疗；早期、适量、短程应用肾上腺糖皮质激素；维持呼吸道通畅；防治肺水肿及继发感染。</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（5）眼接触：立即用水冲洗至少15分钟，并迅速进行医务处理；</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（6）皮肤接触：脱去污染衣着，立即用水冲洗至少15分钟。若有灼伤，按酸灼伤处理。</w:t>
      </w:r>
    </w:p>
    <w:p>
      <w:pPr>
        <w:snapToGrid w:val="0"/>
        <w:spacing w:line="360" w:lineRule="auto"/>
        <w:ind w:firstLine="480" w:firstLineChars="200"/>
        <w:rPr>
          <w:rFonts w:ascii="仿宋_GB2312" w:hAnsi="华文细黑" w:eastAsia="仿宋_GB2312"/>
          <w:kern w:val="11"/>
          <w:sz w:val="28"/>
          <w:szCs w:val="28"/>
        </w:rPr>
      </w:pPr>
      <w:r>
        <w:rPr>
          <w:rFonts w:hint="eastAsia" w:ascii="仿宋" w:hAnsi="仿宋" w:eastAsia="仿宋" w:cs="仿宋"/>
          <w:sz w:val="24"/>
          <w:szCs w:val="24"/>
        </w:rPr>
        <w:t>（7）吸入：迅速脱离现场至空气新鲜处，保持呼吸畅通。呼吸困难时给输氧，给予2－4％碳酸氢钠溶液雾化吸入。就医。</w:t>
      </w:r>
    </w:p>
    <w:p>
      <w:pPr>
        <w:snapToGrid w:val="0"/>
        <w:spacing w:line="360" w:lineRule="auto"/>
        <w:ind w:firstLine="560" w:firstLineChars="200"/>
        <w:outlineLvl w:val="2"/>
        <w:rPr>
          <w:rFonts w:ascii="仿宋_GB2312" w:hAnsi="华文细黑" w:eastAsia="仿宋_GB2312"/>
          <w:sz w:val="28"/>
          <w:szCs w:val="28"/>
        </w:rPr>
      </w:pPr>
      <w:bookmarkStart w:id="131" w:name="_Toc410289800"/>
      <w:bookmarkStart w:id="132" w:name="_Toc224965885"/>
      <w:bookmarkStart w:id="133" w:name="_Toc21794"/>
      <w:r>
        <w:rPr>
          <w:rFonts w:hint="eastAsia" w:ascii="仿宋_GB2312" w:hAnsi="华文细黑" w:eastAsia="仿宋_GB2312"/>
          <w:sz w:val="28"/>
          <w:szCs w:val="28"/>
        </w:rPr>
        <w:t>6.2.2污水处理设施故障应急处置措施</w:t>
      </w:r>
      <w:bookmarkEnd w:id="131"/>
      <w:bookmarkEnd w:id="132"/>
      <w:bookmarkEnd w:id="133"/>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如发现污水处理站发生故障而停止工作时，将立即通知操作班长，操作班长通知厂应急指挥小组，在获得相关指示后，采取以下措施：</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（1）临时切断进水管阀，将废水引入事故水池内临时贮存，同时应急抢险小组依照应急抢险规程进行检修；</w:t>
      </w:r>
    </w:p>
    <w:p>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（2）一般事故可在</w:t>
      </w:r>
      <w:r>
        <w:rPr>
          <w:rFonts w:ascii="仿宋" w:hAnsi="仿宋" w:eastAsia="仿宋" w:cs="仿宋"/>
          <w:sz w:val="24"/>
          <w:szCs w:val="24"/>
        </w:rPr>
        <w:t>24</w:t>
      </w:r>
      <w:r>
        <w:rPr>
          <w:rFonts w:hint="eastAsia" w:ascii="仿宋" w:hAnsi="仿宋" w:eastAsia="仿宋" w:cs="仿宋"/>
          <w:sz w:val="24"/>
          <w:szCs w:val="24"/>
        </w:rPr>
        <w:t>小时内恢复正常，如遇到特殊情况，难以在一天内修复，将考虑紧急停车。在此期间的废水将全部纳入废水事故池临时储存；</w:t>
      </w:r>
    </w:p>
    <w:p>
      <w:pPr>
        <w:snapToGrid w:val="0"/>
        <w:spacing w:line="360" w:lineRule="auto"/>
        <w:ind w:firstLine="480" w:firstLineChars="200"/>
      </w:pPr>
      <w:r>
        <w:rPr>
          <w:rFonts w:hint="eastAsia" w:ascii="仿宋" w:hAnsi="仿宋" w:eastAsia="仿宋" w:cs="仿宋"/>
          <w:sz w:val="24"/>
          <w:szCs w:val="24"/>
        </w:rPr>
        <w:t>（3）待事故修复后，将恢复生产。同时，将事故池的废水全部泵入污水处理站处理。</w:t>
      </w:r>
    </w:p>
    <w:p>
      <w:pPr>
        <w:pStyle w:val="4"/>
        <w:snapToGrid w:val="0"/>
        <w:spacing w:before="0" w:after="0" w:line="360" w:lineRule="auto"/>
        <w:rPr>
          <w:rFonts w:ascii="仿宋_GB2312" w:hAnsi="华文细黑" w:eastAsia="仿宋_GB2312"/>
          <w:szCs w:val="28"/>
        </w:rPr>
      </w:pPr>
      <w:bookmarkStart w:id="134" w:name="_Toc31588"/>
      <w:r>
        <w:rPr>
          <w:rFonts w:hint="eastAsia" w:ascii="仿宋" w:hAnsi="仿宋" w:eastAsia="仿宋" w:cs="仿宋"/>
          <w:b w:val="0"/>
          <w:bCs/>
          <w:sz w:val="28"/>
          <w:szCs w:val="28"/>
        </w:rPr>
        <w:t>6.2.3废气处理设施故障应急处置措施</w:t>
      </w:r>
      <w:bookmarkEnd w:id="134"/>
    </w:p>
    <w:p>
      <w:pPr>
        <w:widowControl/>
        <w:adjustRightInd w:val="0"/>
        <w:snapToGrid w:val="0"/>
        <w:spacing w:line="360" w:lineRule="auto"/>
        <w:ind w:firstLine="480" w:firstLineChars="200"/>
        <w:rPr>
          <w:rFonts w:ascii="仿宋_GB2312" w:hAnsi="华文细黑" w:eastAsia="仿宋_GB2312"/>
          <w:sz w:val="28"/>
          <w:szCs w:val="28"/>
        </w:rPr>
      </w:pPr>
      <w:r>
        <w:rPr>
          <w:rFonts w:hint="eastAsia" w:ascii="仿宋" w:hAnsi="仿宋" w:eastAsia="仿宋" w:cs="仿宋"/>
          <w:sz w:val="24"/>
          <w:szCs w:val="24"/>
        </w:rPr>
        <w:t>事故现场第一发现者发现废气事故排放后，应立即向现场责任人报告。若事故仅为处理系统一般性故障或一时操作不当造成，短时间内可自行解决，可由现场负责人协调车间人员处理。若废气处理系统故障较为严重，无法在短时间内解决，应第一时间汇报应急办公室。应急办公室接到报警后，即刻通知应急救援小组赶往现场检查，分析事故原因及时抢险。必要时应停止设备运行。</w:t>
      </w:r>
    </w:p>
    <w:p>
      <w:pPr>
        <w:snapToGrid w:val="0"/>
        <w:spacing w:line="360" w:lineRule="auto"/>
        <w:ind w:firstLine="560" w:firstLineChars="200"/>
        <w:outlineLvl w:val="1"/>
        <w:rPr>
          <w:rFonts w:ascii="仿宋_GB2312" w:hAnsi="华文细黑" w:eastAsia="仿宋_GB2312"/>
          <w:sz w:val="28"/>
          <w:szCs w:val="28"/>
        </w:rPr>
      </w:pPr>
      <w:bookmarkStart w:id="135" w:name="_Toc23601"/>
      <w:bookmarkStart w:id="136" w:name="_Toc225244065"/>
      <w:bookmarkStart w:id="137" w:name="_Toc224965889"/>
      <w:bookmarkStart w:id="138" w:name="_Toc410289801"/>
      <w:r>
        <w:rPr>
          <w:rFonts w:hint="eastAsia" w:ascii="仿宋_GB2312" w:hAnsi="华文细黑" w:eastAsia="仿宋_GB2312"/>
          <w:sz w:val="28"/>
          <w:szCs w:val="28"/>
        </w:rPr>
        <w:t>6.3抢险、救援及控制措施</w:t>
      </w:r>
      <w:bookmarkEnd w:id="135"/>
    </w:p>
    <w:p>
      <w:pPr>
        <w:snapToGrid w:val="0"/>
        <w:spacing w:line="360" w:lineRule="auto"/>
        <w:ind w:firstLine="560" w:firstLineChars="200"/>
        <w:outlineLvl w:val="2"/>
        <w:rPr>
          <w:rFonts w:ascii="仿宋_GB2312" w:hAnsi="华文细黑" w:eastAsia="仿宋_GB2312"/>
          <w:sz w:val="28"/>
          <w:szCs w:val="28"/>
        </w:rPr>
      </w:pPr>
      <w:bookmarkStart w:id="139" w:name="_Toc27261"/>
      <w:r>
        <w:rPr>
          <w:rFonts w:hint="eastAsia" w:ascii="仿宋_GB2312" w:hAnsi="华文细黑" w:eastAsia="仿宋_GB2312"/>
          <w:sz w:val="28"/>
          <w:szCs w:val="28"/>
        </w:rPr>
        <w:t>6.3.1应急救援队伍的调度和保障供应措施</w:t>
      </w:r>
      <w:bookmarkEnd w:id="139"/>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应急救援队伍由应急小组组长统一调度和指挥，突发环境事故时，由应急小组组长下达救援命令，并由事故发生车间或生产工段负责人带领开展应急救援行动。</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应急救援物资由物资保管人负责分发给各救援小组，在达到应急救援的目的同时尽量节约，不浪费。</w:t>
      </w:r>
    </w:p>
    <w:p>
      <w:pPr>
        <w:snapToGrid w:val="0"/>
        <w:spacing w:line="360" w:lineRule="auto"/>
        <w:ind w:firstLine="560" w:firstLineChars="200"/>
        <w:outlineLvl w:val="2"/>
        <w:rPr>
          <w:rFonts w:ascii="仿宋_GB2312" w:hAnsi="华文细黑" w:eastAsia="仿宋_GB2312"/>
          <w:sz w:val="28"/>
          <w:szCs w:val="28"/>
        </w:rPr>
      </w:pPr>
      <w:bookmarkStart w:id="140" w:name="_Toc27439"/>
      <w:r>
        <w:rPr>
          <w:rFonts w:hint="eastAsia" w:ascii="仿宋_GB2312" w:hAnsi="华文细黑" w:eastAsia="仿宋_GB2312"/>
          <w:sz w:val="28"/>
          <w:szCs w:val="28"/>
        </w:rPr>
        <w:t>6.3.2控制事故扩大的措施</w:t>
      </w:r>
      <w:bookmarkEnd w:id="140"/>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迅速查明泄漏、火灾、爆炸事故的发生源点、泄漏部位和原因，凡能切断泄漏源处理措施而能消除事故的，则以自救为主。如泄漏部位自己不能控制的，应向指挥组报告并提出堵漏或抢修的具体措施。</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kern w:val="11"/>
          <w:sz w:val="24"/>
          <w:szCs w:val="24"/>
        </w:rPr>
        <w:t>指挥组成员达到现场后，根据事故状况及危害程度作出相应的应急决定，并命令各应急救援专业队伍立即开展抢险救援。如事故扩大时，应请求救援。如易燃易爆液体大量泄漏，则命令在发生事故的一定区域内停止一切作业，所有电气设备和照明保持原来状态，机动车辆撤离或就地熄火停驶。</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应急指挥小组到达现场后，在查明液体泄漏部位和范围后，视能否控制作出应急调查。</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事故救援组到达现场后，根据不同的泄漏部位，采取相应的堵漏措施，在做好个人防护的基础上，以最快的速度及时堵漏排险，减少泄漏，消除危险源。</w:t>
      </w:r>
    </w:p>
    <w:p>
      <w:pPr>
        <w:snapToGrid w:val="0"/>
        <w:spacing w:line="360" w:lineRule="auto"/>
        <w:ind w:firstLine="560" w:firstLineChars="200"/>
        <w:outlineLvl w:val="2"/>
        <w:rPr>
          <w:rFonts w:ascii="仿宋_GB2312" w:hAnsi="华文细黑" w:eastAsia="仿宋_GB2312"/>
          <w:sz w:val="28"/>
          <w:szCs w:val="28"/>
        </w:rPr>
      </w:pPr>
      <w:bookmarkStart w:id="141" w:name="_Toc27977"/>
      <w:r>
        <w:rPr>
          <w:rFonts w:hint="eastAsia" w:ascii="仿宋_GB2312" w:hAnsi="华文细黑" w:eastAsia="仿宋_GB2312"/>
          <w:sz w:val="28"/>
          <w:szCs w:val="28"/>
        </w:rPr>
        <w:t>6.3.3事故可能扩大后的应急措施</w:t>
      </w:r>
      <w:bookmarkEnd w:id="141"/>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如发生重大爆炸或泄漏事故，指挥组成员通知自己所在部门，按专业对口迅速向主管部门和公安、安监、消防、环保、卫生等上级领导部门报告事故情况。</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由指挥组下达紧急安全疏散命令。</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一旦发生重大爆炸或泄漏事故，本单位抢险抢修力量不足或有可能危及社会安全时，由指挥组立即向上级和友邻单位通报，必要时请求社会力量帮助。社会救援队伍入场时，由通讯联络组人员联络、引导并告知注意事项。</w:t>
      </w:r>
    </w:p>
    <w:p>
      <w:pPr>
        <w:snapToGrid w:val="0"/>
        <w:spacing w:line="360" w:lineRule="auto"/>
        <w:ind w:firstLine="560" w:firstLineChars="200"/>
        <w:outlineLvl w:val="1"/>
        <w:rPr>
          <w:rFonts w:ascii="仿宋_GB2312" w:hAnsi="华文细黑" w:eastAsia="仿宋_GB2312"/>
          <w:sz w:val="28"/>
          <w:szCs w:val="28"/>
        </w:rPr>
      </w:pPr>
      <w:bookmarkStart w:id="142" w:name="_Toc1432"/>
      <w:r>
        <w:rPr>
          <w:rFonts w:hint="eastAsia" w:ascii="仿宋_GB2312" w:hAnsi="华文细黑" w:eastAsia="仿宋_GB2312"/>
          <w:sz w:val="28"/>
          <w:szCs w:val="28"/>
        </w:rPr>
        <w:t>6.4 应急监测</w:t>
      </w:r>
      <w:bookmarkEnd w:id="136"/>
      <w:bookmarkEnd w:id="137"/>
      <w:bookmarkEnd w:id="138"/>
      <w:bookmarkEnd w:id="142"/>
    </w:p>
    <w:p>
      <w:pPr>
        <w:snapToGrid w:val="0"/>
        <w:spacing w:line="360" w:lineRule="auto"/>
        <w:ind w:firstLine="560" w:firstLineChars="200"/>
        <w:outlineLvl w:val="2"/>
        <w:rPr>
          <w:rFonts w:ascii="仿宋_GB2312" w:hAnsi="华文细黑" w:eastAsia="仿宋_GB2312"/>
          <w:sz w:val="28"/>
          <w:szCs w:val="28"/>
        </w:rPr>
      </w:pPr>
      <w:bookmarkStart w:id="143" w:name="_Toc8004"/>
      <w:r>
        <w:rPr>
          <w:rFonts w:hint="eastAsia" w:ascii="仿宋_GB2312" w:hAnsi="华文细黑" w:eastAsia="仿宋_GB2312"/>
          <w:sz w:val="28"/>
          <w:szCs w:val="28"/>
        </w:rPr>
        <w:t>6.4.1应急监测方案</w:t>
      </w:r>
      <w:bookmarkEnd w:id="143"/>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事故发生后，由应急监测组负责对事故现场进行应急监测，通知委托检测单位对事故现场进行现场应急监测，对事故性质、参数与后果进行评估，为指挥部门提供决策依据。</w:t>
      </w:r>
    </w:p>
    <w:p>
      <w:pPr>
        <w:snapToGrid w:val="0"/>
        <w:spacing w:line="360" w:lineRule="auto"/>
        <w:ind w:firstLine="560" w:firstLineChars="200"/>
        <w:outlineLvl w:val="2"/>
        <w:rPr>
          <w:rFonts w:ascii="仿宋_GB2312" w:hAnsi="华文细黑" w:eastAsia="仿宋_GB2312"/>
          <w:sz w:val="28"/>
          <w:szCs w:val="28"/>
        </w:rPr>
      </w:pPr>
      <w:bookmarkStart w:id="144" w:name="_Toc12068"/>
      <w:r>
        <w:rPr>
          <w:rFonts w:hint="eastAsia" w:ascii="仿宋_GB2312" w:hAnsi="华文细黑" w:eastAsia="仿宋_GB2312"/>
          <w:sz w:val="28"/>
          <w:szCs w:val="28"/>
        </w:rPr>
        <w:t>6.4.2水环境监测</w:t>
      </w:r>
      <w:bookmarkEnd w:id="144"/>
    </w:p>
    <w:p>
      <w:pPr>
        <w:tabs>
          <w:tab w:val="left" w:pos="1299"/>
        </w:tabs>
        <w:adjustRightInd w:val="0"/>
        <w:snapToGrid w:val="0"/>
        <w:spacing w:line="360" w:lineRule="auto"/>
        <w:ind w:firstLine="480" w:firstLineChars="200"/>
        <w:rPr>
          <w:rFonts w:ascii="仿宋_GB2312" w:hAnsi="华文细黑" w:eastAsia="仿宋_GB2312"/>
          <w:sz w:val="24"/>
          <w:szCs w:val="24"/>
        </w:rPr>
      </w:pPr>
      <w:r>
        <w:rPr>
          <w:rFonts w:ascii="仿宋_GB2312" w:hAnsi="华文细黑" w:eastAsia="仿宋_GB2312"/>
          <w:sz w:val="24"/>
          <w:szCs w:val="24"/>
        </w:rPr>
        <w:t>事故风险发生后应根据不同风险因子发生泄漏或消防等废水进行有针对性的监测，监测因子包括COD、pH、石油类、氯化物、酚以及氯化氢、酚、二氯乙烷等特征污染物。</w:t>
      </w:r>
    </w:p>
    <w:p>
      <w:pPr>
        <w:snapToGrid w:val="0"/>
        <w:spacing w:line="360" w:lineRule="auto"/>
        <w:ind w:firstLine="570"/>
        <w:rPr>
          <w:rFonts w:ascii="仿宋_GB2312" w:hAnsi="华文细黑" w:eastAsia="仿宋_GB2312"/>
          <w:sz w:val="24"/>
          <w:szCs w:val="24"/>
        </w:rPr>
      </w:pPr>
      <w:r>
        <w:rPr>
          <w:rFonts w:ascii="仿宋_GB2312" w:hAnsi="华文细黑" w:eastAsia="仿宋_GB2312"/>
          <w:sz w:val="24"/>
          <w:szCs w:val="24"/>
        </w:rPr>
        <w:t>监测时间和频次：根据事故严重性决定监测频次，一般情况下每小时取样一次。随事故控制减弱，适当减少监测频次。</w:t>
      </w:r>
    </w:p>
    <w:p>
      <w:pPr>
        <w:snapToGrid w:val="0"/>
        <w:spacing w:line="360" w:lineRule="auto"/>
        <w:ind w:firstLine="560" w:firstLineChars="200"/>
        <w:outlineLvl w:val="2"/>
        <w:rPr>
          <w:rFonts w:ascii="仿宋_GB2312" w:hAnsi="华文细黑" w:eastAsia="仿宋_GB2312"/>
          <w:sz w:val="28"/>
          <w:szCs w:val="28"/>
        </w:rPr>
      </w:pPr>
      <w:bookmarkStart w:id="145" w:name="_Toc6858"/>
      <w:r>
        <w:rPr>
          <w:rFonts w:hint="eastAsia" w:ascii="仿宋_GB2312" w:hAnsi="华文细黑" w:eastAsia="仿宋_GB2312"/>
          <w:sz w:val="28"/>
          <w:szCs w:val="28"/>
        </w:rPr>
        <w:t>6.4.3大气监测</w:t>
      </w:r>
      <w:bookmarkEnd w:id="145"/>
    </w:p>
    <w:p>
      <w:pPr>
        <w:tabs>
          <w:tab w:val="left" w:pos="1299"/>
        </w:tabs>
        <w:adjustRightInd w:val="0"/>
        <w:snapToGrid w:val="0"/>
        <w:spacing w:line="360" w:lineRule="auto"/>
        <w:ind w:firstLine="480" w:firstLineChars="200"/>
        <w:rPr>
          <w:rFonts w:ascii="仿宋_GB2312" w:hAnsi="华文细黑" w:eastAsia="仿宋_GB2312"/>
          <w:sz w:val="24"/>
          <w:szCs w:val="24"/>
        </w:rPr>
      </w:pPr>
      <w:r>
        <w:rPr>
          <w:rFonts w:ascii="仿宋_GB2312" w:hAnsi="华文细黑" w:eastAsia="仿宋_GB2312"/>
          <w:sz w:val="24"/>
          <w:szCs w:val="24"/>
        </w:rPr>
        <w:t>监测因子为：特征因子应根据发生事故的实际情况布置监测，特征污染物氯化氢、酚、二氯乙烷等必须作为监测因子进行监测。</w:t>
      </w:r>
    </w:p>
    <w:p>
      <w:pPr>
        <w:tabs>
          <w:tab w:val="left" w:pos="1299"/>
        </w:tabs>
        <w:adjustRightInd w:val="0"/>
        <w:snapToGrid w:val="0"/>
        <w:spacing w:line="360" w:lineRule="auto"/>
        <w:ind w:firstLine="480" w:firstLineChars="200"/>
        <w:rPr>
          <w:rFonts w:ascii="仿宋_GB2312" w:hAnsi="华文细黑" w:eastAsia="仿宋_GB2312"/>
          <w:sz w:val="24"/>
          <w:szCs w:val="24"/>
        </w:rPr>
      </w:pPr>
      <w:r>
        <w:rPr>
          <w:rFonts w:ascii="仿宋_GB2312" w:hAnsi="华文细黑" w:eastAsia="仿宋_GB2312"/>
          <w:sz w:val="24"/>
          <w:szCs w:val="24"/>
        </w:rPr>
        <w:t>监测布点：以事故原点为中心下风向扇形范围内每隔500m布设一个监控点，上风向布设一个对照点。</w:t>
      </w:r>
    </w:p>
    <w:p>
      <w:pPr>
        <w:tabs>
          <w:tab w:val="left" w:pos="1299"/>
        </w:tabs>
        <w:adjustRightInd w:val="0"/>
        <w:snapToGrid w:val="0"/>
        <w:spacing w:line="360" w:lineRule="auto"/>
        <w:ind w:firstLine="480" w:firstLineChars="200"/>
        <w:rPr>
          <w:rFonts w:ascii="仿宋" w:hAnsi="仿宋" w:eastAsia="仿宋" w:cs="仿宋"/>
          <w:kern w:val="2"/>
          <w:sz w:val="24"/>
          <w:szCs w:val="24"/>
        </w:rPr>
      </w:pPr>
      <w:r>
        <w:rPr>
          <w:rFonts w:ascii="仿宋_GB2312" w:hAnsi="华文细黑" w:eastAsia="仿宋_GB2312"/>
          <w:sz w:val="24"/>
          <w:szCs w:val="24"/>
        </w:rPr>
        <w:t>监测时间和频次：按照事故泄漏的污染源和泄漏物的持续时间决定监测时间，根据事故严重性决定监测频次。一般情况下氯化氢、酚、二氯乙烷等特征因子，每十分钟取样1次，随事故控制减弱，适当减少监测频次。</w:t>
      </w:r>
    </w:p>
    <w:p>
      <w:pPr>
        <w:snapToGrid w:val="0"/>
        <w:spacing w:line="360" w:lineRule="auto"/>
        <w:ind w:firstLine="560" w:firstLineChars="200"/>
        <w:outlineLvl w:val="2"/>
        <w:rPr>
          <w:rFonts w:ascii="仿宋_GB2312" w:hAnsi="华文细黑" w:eastAsia="仿宋_GB2312"/>
          <w:sz w:val="28"/>
          <w:szCs w:val="28"/>
        </w:rPr>
      </w:pPr>
      <w:bookmarkStart w:id="146" w:name="_Toc12345"/>
      <w:bookmarkStart w:id="147" w:name="_Toc410289802"/>
      <w:bookmarkStart w:id="148" w:name="_Toc224965891"/>
      <w:bookmarkStart w:id="149" w:name="_Toc225244066"/>
      <w:r>
        <w:rPr>
          <w:rFonts w:hint="eastAsia" w:ascii="仿宋_GB2312" w:hAnsi="华文细黑" w:eastAsia="仿宋_GB2312"/>
          <w:sz w:val="28"/>
          <w:szCs w:val="28"/>
        </w:rPr>
        <w:t>6.4.4应急监测人员的安全防护措施</w:t>
      </w:r>
      <w:bookmarkEnd w:id="146"/>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现场应急监测分析方案的具体实施均是由应急监测工作者完成的，而每一种污染事故都可能危及分析人员的人身安全。为了保护分析人员并有效地实施现场快速分析，在实施应急监测方案之前，应配备必要的防护器材，如空气呼吸器、防化服、防护眼镜等。</w:t>
      </w:r>
    </w:p>
    <w:p>
      <w:pPr>
        <w:snapToGrid w:val="0"/>
        <w:spacing w:line="360" w:lineRule="auto"/>
        <w:ind w:firstLine="560" w:firstLineChars="200"/>
        <w:outlineLvl w:val="2"/>
        <w:rPr>
          <w:rFonts w:ascii="仿宋_GB2312" w:hAnsi="华文细黑" w:eastAsia="仿宋_GB2312"/>
          <w:sz w:val="28"/>
          <w:szCs w:val="28"/>
        </w:rPr>
      </w:pPr>
      <w:bookmarkStart w:id="150" w:name="_Toc10294"/>
      <w:r>
        <w:rPr>
          <w:rFonts w:hint="eastAsia" w:ascii="仿宋_GB2312" w:hAnsi="华文细黑" w:eastAsia="仿宋_GB2312"/>
          <w:sz w:val="28"/>
          <w:szCs w:val="28"/>
        </w:rPr>
        <w:t>6.4.5应急监测分工</w:t>
      </w:r>
      <w:bookmarkEnd w:id="150"/>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应急监测组的组长组织领导整个应急监测工作，各成员积极配合蓬莱监测站技术人员的调配，完成应急检测任务。</w:t>
      </w:r>
    </w:p>
    <w:p>
      <w:pPr>
        <w:snapToGrid w:val="0"/>
        <w:spacing w:line="360" w:lineRule="auto"/>
        <w:ind w:firstLine="560" w:firstLineChars="200"/>
        <w:outlineLvl w:val="1"/>
        <w:rPr>
          <w:rFonts w:ascii="仿宋_GB2312" w:hAnsi="华文细黑" w:eastAsia="仿宋_GB2312"/>
          <w:sz w:val="28"/>
          <w:szCs w:val="28"/>
        </w:rPr>
      </w:pPr>
      <w:bookmarkStart w:id="151" w:name="_Toc4878"/>
      <w:r>
        <w:rPr>
          <w:rFonts w:hint="eastAsia" w:ascii="仿宋_GB2312" w:hAnsi="华文细黑" w:eastAsia="仿宋_GB2312"/>
          <w:sz w:val="28"/>
          <w:szCs w:val="28"/>
        </w:rPr>
        <w:t>6.5信息报告与发布</w:t>
      </w:r>
      <w:bookmarkEnd w:id="151"/>
    </w:p>
    <w:p>
      <w:pPr>
        <w:widowControl/>
        <w:snapToGrid w:val="0"/>
        <w:spacing w:line="360" w:lineRule="auto"/>
        <w:ind w:firstLine="470" w:firstLineChars="196"/>
        <w:jc w:val="left"/>
        <w:rPr>
          <w:rFonts w:ascii="仿宋_GB2312" w:hAnsi="华文细黑" w:eastAsia="仿宋_GB2312"/>
          <w:sz w:val="28"/>
          <w:szCs w:val="28"/>
        </w:rPr>
      </w:pPr>
      <w:r>
        <w:rPr>
          <w:rFonts w:hint="eastAsia" w:ascii="仿宋_GB2312" w:hAnsi="华文细黑" w:eastAsia="仿宋_GB2312"/>
          <w:sz w:val="24"/>
          <w:szCs w:val="24"/>
        </w:rPr>
        <w:t>依据环境保护部令第17号《突发环境事件信息报告办法》及有关规定，</w:t>
      </w:r>
      <w:r>
        <w:rPr>
          <w:rFonts w:hint="eastAsia" w:ascii="仿宋_GB2312" w:hAnsi="华文细黑" w:eastAsia="仿宋_GB2312"/>
          <w:kern w:val="11"/>
          <w:sz w:val="24"/>
          <w:szCs w:val="24"/>
        </w:rPr>
        <w:t>明确信息报告时限和发布的程序、内容和方式，本公司信息报告和通报具</w:t>
      </w:r>
      <w:r>
        <w:rPr>
          <w:rFonts w:hint="eastAsia" w:ascii="仿宋_GB2312" w:hAnsi="华文细黑" w:eastAsia="仿宋_GB2312"/>
          <w:sz w:val="24"/>
          <w:szCs w:val="24"/>
        </w:rPr>
        <w:t>体情况如下：</w:t>
      </w:r>
    </w:p>
    <w:p>
      <w:pPr>
        <w:snapToGrid w:val="0"/>
        <w:spacing w:line="360" w:lineRule="auto"/>
        <w:ind w:firstLine="560" w:firstLineChars="200"/>
        <w:outlineLvl w:val="2"/>
        <w:rPr>
          <w:rFonts w:ascii="仿宋_GB2312" w:hAnsi="华文细黑" w:eastAsia="仿宋_GB2312"/>
          <w:sz w:val="28"/>
          <w:szCs w:val="28"/>
        </w:rPr>
      </w:pPr>
      <w:bookmarkStart w:id="152" w:name="_Toc9996"/>
      <w:bookmarkStart w:id="153" w:name="_Toc410289792"/>
      <w:r>
        <w:rPr>
          <w:rFonts w:hint="eastAsia" w:ascii="仿宋_GB2312" w:hAnsi="华文细黑" w:eastAsia="仿宋_GB2312"/>
          <w:sz w:val="28"/>
          <w:szCs w:val="28"/>
        </w:rPr>
        <w:t>6.5.1内部信息报告</w:t>
      </w:r>
      <w:bookmarkEnd w:id="152"/>
      <w:bookmarkEnd w:id="153"/>
    </w:p>
    <w:p>
      <w:pPr>
        <w:widowControl/>
        <w:snapToGrid w:val="0"/>
        <w:spacing w:line="360" w:lineRule="auto"/>
        <w:ind w:firstLine="470" w:firstLineChars="196"/>
        <w:jc w:val="left"/>
        <w:rPr>
          <w:rFonts w:ascii="仿宋" w:hAnsi="仿宋" w:eastAsia="仿宋" w:cs="仿宋"/>
          <w:kern w:val="11"/>
          <w:sz w:val="24"/>
          <w:szCs w:val="24"/>
        </w:rPr>
      </w:pPr>
      <w:r>
        <w:rPr>
          <w:rFonts w:hint="eastAsia" w:ascii="仿宋" w:hAnsi="仿宋" w:eastAsia="仿宋" w:cs="仿宋"/>
          <w:kern w:val="11"/>
          <w:sz w:val="24"/>
          <w:szCs w:val="24"/>
        </w:rPr>
        <w:t>(1)24小时应急值守电话</w:t>
      </w:r>
    </w:p>
    <w:p>
      <w:pPr>
        <w:snapToGrid w:val="0"/>
        <w:spacing w:line="360" w:lineRule="auto"/>
        <w:ind w:firstLine="480" w:firstLineChars="200"/>
        <w:rPr>
          <w:rFonts w:ascii="仿宋" w:hAnsi="仿宋" w:eastAsia="仿宋" w:cs="仿宋"/>
          <w:color w:val="FF0000"/>
          <w:kern w:val="11"/>
          <w:sz w:val="24"/>
          <w:szCs w:val="24"/>
        </w:rPr>
      </w:pPr>
      <w:r>
        <w:rPr>
          <w:rFonts w:hint="eastAsia" w:ascii="仿宋" w:hAnsi="仿宋" w:eastAsia="仿宋" w:cs="仿宋"/>
          <w:kern w:val="11"/>
          <w:sz w:val="24"/>
          <w:szCs w:val="24"/>
        </w:rPr>
        <w:t>公司内部应急救援办公室设在</w:t>
      </w:r>
      <w:r>
        <w:rPr>
          <w:rFonts w:hint="eastAsia" w:ascii="仿宋" w:hAnsi="仿宋" w:eastAsia="仿宋" w:cs="宋体"/>
          <w:sz w:val="24"/>
          <w:szCs w:val="24"/>
        </w:rPr>
        <w:t>生产调度室</w:t>
      </w:r>
      <w:r>
        <w:rPr>
          <w:rFonts w:hint="eastAsia" w:ascii="仿宋" w:hAnsi="仿宋" w:eastAsia="仿宋" w:cs="仿宋"/>
          <w:kern w:val="11"/>
          <w:sz w:val="24"/>
          <w:szCs w:val="24"/>
        </w:rPr>
        <w:t>，24小时应急值守电话：13953588758</w:t>
      </w:r>
    </w:p>
    <w:p>
      <w:pPr>
        <w:widowControl/>
        <w:snapToGrid w:val="0"/>
        <w:spacing w:line="360" w:lineRule="auto"/>
        <w:ind w:firstLine="470" w:firstLineChars="196"/>
        <w:jc w:val="left"/>
        <w:rPr>
          <w:rFonts w:ascii="仿宋" w:hAnsi="仿宋" w:eastAsia="仿宋" w:cs="仿宋"/>
          <w:kern w:val="11"/>
          <w:sz w:val="24"/>
          <w:szCs w:val="24"/>
        </w:rPr>
      </w:pPr>
      <w:r>
        <w:rPr>
          <w:rFonts w:hint="eastAsia" w:ascii="仿宋" w:hAnsi="仿宋" w:eastAsia="仿宋" w:cs="仿宋"/>
          <w:kern w:val="11"/>
          <w:sz w:val="24"/>
          <w:szCs w:val="24"/>
        </w:rPr>
        <w:t>总指挥电话：13963817008（陈汶年）</w:t>
      </w:r>
    </w:p>
    <w:p>
      <w:pPr>
        <w:widowControl/>
        <w:snapToGrid w:val="0"/>
        <w:spacing w:line="360" w:lineRule="auto"/>
        <w:ind w:firstLine="470" w:firstLineChars="196"/>
        <w:jc w:val="left"/>
        <w:rPr>
          <w:rFonts w:ascii="仿宋" w:hAnsi="仿宋" w:eastAsia="仿宋" w:cs="仿宋"/>
          <w:kern w:val="11"/>
          <w:sz w:val="24"/>
          <w:szCs w:val="24"/>
        </w:rPr>
      </w:pPr>
      <w:r>
        <w:rPr>
          <w:rFonts w:hint="eastAsia" w:ascii="仿宋" w:hAnsi="仿宋" w:eastAsia="仿宋" w:cs="仿宋"/>
          <w:kern w:val="11"/>
          <w:sz w:val="24"/>
          <w:szCs w:val="24"/>
        </w:rPr>
        <w:t>副总指挥电话：15865355098（李德成）</w:t>
      </w:r>
    </w:p>
    <w:p>
      <w:pPr>
        <w:widowControl/>
        <w:snapToGrid w:val="0"/>
        <w:spacing w:line="360" w:lineRule="auto"/>
        <w:ind w:firstLine="470" w:firstLineChars="196"/>
        <w:jc w:val="left"/>
        <w:rPr>
          <w:rFonts w:ascii="仿宋" w:hAnsi="仿宋" w:eastAsia="仿宋" w:cs="仿宋"/>
          <w:color w:val="FF0000"/>
          <w:kern w:val="11"/>
          <w:sz w:val="24"/>
          <w:szCs w:val="24"/>
        </w:rPr>
      </w:pPr>
      <w:r>
        <w:rPr>
          <w:rFonts w:hint="eastAsia" w:ascii="仿宋" w:hAnsi="仿宋" w:eastAsia="仿宋" w:cs="仿宋"/>
          <w:kern w:val="11"/>
          <w:sz w:val="24"/>
          <w:szCs w:val="24"/>
        </w:rPr>
        <w:t>副总指挥电话：13884641076（孙行用）</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市消防电话：119</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市公安电话：110</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医院急救电话：120</w:t>
      </w:r>
    </w:p>
    <w:p>
      <w:pPr>
        <w:widowControl/>
        <w:snapToGrid w:val="0"/>
        <w:spacing w:line="360" w:lineRule="auto"/>
        <w:ind w:firstLine="470" w:firstLineChars="196"/>
        <w:jc w:val="left"/>
        <w:rPr>
          <w:rFonts w:ascii="仿宋" w:hAnsi="仿宋" w:eastAsia="仿宋" w:cs="仿宋"/>
          <w:color w:val="FF0000"/>
          <w:kern w:val="11"/>
          <w:sz w:val="24"/>
          <w:szCs w:val="24"/>
        </w:rPr>
      </w:pPr>
      <w:r>
        <w:rPr>
          <w:rFonts w:hint="eastAsia" w:ascii="仿宋" w:hAnsi="仿宋" w:eastAsia="仿宋" w:cs="仿宋"/>
          <w:kern w:val="11"/>
          <w:sz w:val="24"/>
          <w:szCs w:val="24"/>
        </w:rPr>
        <w:t>公司对外联系电话</w:t>
      </w:r>
      <w:r>
        <w:rPr>
          <w:rFonts w:hint="eastAsia" w:ascii="仿宋" w:hAnsi="仿宋" w:eastAsia="仿宋" w:cs="仿宋"/>
          <w:sz w:val="24"/>
          <w:szCs w:val="24"/>
        </w:rPr>
        <w:t>：</w:t>
      </w:r>
      <w:r>
        <w:rPr>
          <w:rFonts w:hint="eastAsia" w:ascii="仿宋" w:hAnsi="仿宋" w:eastAsia="仿宋" w:cs="仿宋"/>
          <w:kern w:val="11"/>
          <w:sz w:val="24"/>
          <w:szCs w:val="24"/>
        </w:rPr>
        <w:t>13953588758</w:t>
      </w:r>
    </w:p>
    <w:p>
      <w:pPr>
        <w:widowControl/>
        <w:snapToGrid w:val="0"/>
        <w:spacing w:line="360" w:lineRule="auto"/>
        <w:ind w:firstLine="470" w:firstLineChars="196"/>
        <w:jc w:val="left"/>
        <w:rPr>
          <w:rFonts w:ascii="仿宋" w:hAnsi="仿宋" w:eastAsia="仿宋" w:cs="仿宋"/>
          <w:kern w:val="11"/>
          <w:sz w:val="24"/>
          <w:szCs w:val="24"/>
        </w:rPr>
      </w:pPr>
      <w:r>
        <w:rPr>
          <w:rFonts w:hint="eastAsia" w:ascii="仿宋" w:hAnsi="仿宋" w:eastAsia="仿宋" w:cs="仿宋"/>
          <w:kern w:val="11"/>
          <w:sz w:val="24"/>
          <w:szCs w:val="24"/>
        </w:rPr>
        <w:t>(2)信息报告程序</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发现紧急状态即将发生或已经发生时，应按照以下步骤操作：</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①第一发现事故的员工应当初步评估并确认事故发生，立即警告暴露于危险的第一人群（操作人员），立即电话通知现场应急协调人（顾兆烨：13953588758）。</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②现场应急协调人接到报警后应立即赶赴现场，作出初始评估（事故性质、事故源、原料泄漏的程度、事故可能对环境和人体健康造成的危害），确定应急响应级别，启动相应的应急预案，并通知单位可能受事故影响的人员以及应急人员和机构；如需外部救援，则应立即呼叫有关应急救援部门并立即通知地方政府有关主管部门。必要时，应当向周边社区和邻近工厂发出警报。</w:t>
      </w:r>
    </w:p>
    <w:p>
      <w:pPr>
        <w:widowControl/>
        <w:snapToGrid w:val="0"/>
        <w:spacing w:line="360" w:lineRule="auto"/>
        <w:ind w:firstLine="470" w:firstLineChars="196"/>
        <w:jc w:val="left"/>
        <w:rPr>
          <w:rFonts w:ascii="仿宋" w:hAnsi="仿宋" w:eastAsia="仿宋" w:cs="仿宋"/>
          <w:kern w:val="11"/>
          <w:sz w:val="24"/>
          <w:szCs w:val="24"/>
        </w:rPr>
      </w:pPr>
      <w:r>
        <w:rPr>
          <w:rFonts w:hint="eastAsia" w:ascii="仿宋" w:hAnsi="仿宋" w:eastAsia="仿宋" w:cs="仿宋"/>
          <w:kern w:val="11"/>
          <w:sz w:val="24"/>
          <w:szCs w:val="24"/>
        </w:rPr>
        <w:t>③各有关人员接到报警后，应当按照应急预案的要求启动相应的工作。</w:t>
      </w:r>
    </w:p>
    <w:p>
      <w:pPr>
        <w:widowControl/>
        <w:snapToGrid w:val="0"/>
        <w:spacing w:line="360" w:lineRule="auto"/>
        <w:ind w:firstLine="480" w:firstLineChars="200"/>
        <w:jc w:val="left"/>
        <w:rPr>
          <w:rFonts w:ascii="仿宋" w:hAnsi="仿宋" w:eastAsia="仿宋" w:cs="仿宋"/>
          <w:kern w:val="11"/>
          <w:sz w:val="24"/>
          <w:szCs w:val="24"/>
        </w:rPr>
      </w:pPr>
      <w:r>
        <w:rPr>
          <w:rFonts w:hint="eastAsia" w:ascii="仿宋" w:hAnsi="仿宋" w:eastAsia="仿宋" w:cs="仿宋"/>
          <w:kern w:val="11"/>
          <w:sz w:val="24"/>
          <w:szCs w:val="24"/>
        </w:rPr>
        <w:t>(3)现场报警方式</w:t>
      </w:r>
    </w:p>
    <w:p>
      <w:pPr>
        <w:widowControl/>
        <w:snapToGrid w:val="0"/>
        <w:spacing w:line="360" w:lineRule="auto"/>
        <w:ind w:firstLine="480" w:firstLineChars="200"/>
        <w:jc w:val="left"/>
        <w:rPr>
          <w:rFonts w:ascii="仿宋" w:hAnsi="仿宋" w:eastAsia="仿宋" w:cs="仿宋"/>
          <w:kern w:val="11"/>
          <w:sz w:val="24"/>
          <w:szCs w:val="24"/>
        </w:rPr>
      </w:pPr>
      <w:r>
        <w:rPr>
          <w:rFonts w:hint="eastAsia" w:ascii="仿宋" w:hAnsi="仿宋" w:eastAsia="仿宋" w:cs="仿宋"/>
          <w:kern w:val="11"/>
          <w:sz w:val="24"/>
          <w:szCs w:val="24"/>
        </w:rPr>
        <w:t>发生事故后，在初步了解事故情况后，事故知情人应通过喊叫的方式向现场其他人员报警，并立即通过电话向事故部门负责人与公司应急救援办公室进行报警（求援电话见附件）。</w:t>
      </w:r>
    </w:p>
    <w:p>
      <w:pPr>
        <w:widowControl/>
        <w:snapToGrid w:val="0"/>
        <w:spacing w:line="360" w:lineRule="auto"/>
        <w:ind w:firstLine="480" w:firstLineChars="200"/>
        <w:jc w:val="left"/>
        <w:rPr>
          <w:rFonts w:ascii="仿宋" w:hAnsi="仿宋" w:eastAsia="仿宋" w:cs="仿宋"/>
          <w:kern w:val="11"/>
          <w:sz w:val="24"/>
          <w:szCs w:val="24"/>
        </w:rPr>
      </w:pPr>
      <w:r>
        <w:rPr>
          <w:rFonts w:hint="eastAsia" w:ascii="仿宋" w:hAnsi="仿宋" w:eastAsia="仿宋" w:cs="仿宋"/>
          <w:kern w:val="11"/>
          <w:sz w:val="24"/>
          <w:szCs w:val="24"/>
        </w:rPr>
        <w:t>(4)事件报告方式与内容</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突发环境污染事故的报告分为初报、续报和处理结果报告三类。初报从发现事件后立即上报；续报在查清有关基本情况后随时上报；处理结果在事件处理完毕后立即上报。</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①初报可用电话直接报告，主要内容包括：环境事故的类型、发生时间、地点、污染源，主要污染物质、人员受害情况、事件潜在危险程度、转化方式趋向等初步情况。</w:t>
      </w:r>
    </w:p>
    <w:p>
      <w:pPr>
        <w:snapToGrid w:val="0"/>
        <w:spacing w:line="360" w:lineRule="auto"/>
        <w:ind w:firstLine="480" w:firstLineChars="200"/>
        <w:rPr>
          <w:rFonts w:ascii="仿宋" w:hAnsi="仿宋" w:eastAsia="仿宋" w:cs="仿宋"/>
          <w:kern w:val="11"/>
          <w:sz w:val="24"/>
          <w:szCs w:val="24"/>
        </w:rPr>
      </w:pPr>
      <w:r>
        <w:rPr>
          <w:rFonts w:hint="eastAsia" w:ascii="仿宋" w:hAnsi="仿宋" w:eastAsia="仿宋" w:cs="仿宋"/>
          <w:kern w:val="11"/>
          <w:sz w:val="24"/>
          <w:szCs w:val="24"/>
        </w:rPr>
        <w:t>②续报可通过书面报告，在初报的基础上报告有关确切数据，事件发生的原因、过程、进展情况及采取的应急措施等基本情况。</w:t>
      </w:r>
    </w:p>
    <w:p>
      <w:pPr>
        <w:snapToGrid w:val="0"/>
        <w:spacing w:line="360" w:lineRule="auto"/>
        <w:ind w:firstLine="480" w:firstLineChars="200"/>
        <w:rPr>
          <w:rFonts w:ascii="仿宋" w:hAnsi="仿宋" w:eastAsia="仿宋" w:cs="仿宋"/>
          <w:sz w:val="28"/>
          <w:szCs w:val="28"/>
        </w:rPr>
      </w:pPr>
      <w:r>
        <w:rPr>
          <w:rFonts w:hint="eastAsia" w:ascii="仿宋" w:hAnsi="仿宋" w:eastAsia="仿宋" w:cs="仿宋"/>
          <w:kern w:val="11"/>
          <w:sz w:val="24"/>
          <w:szCs w:val="24"/>
        </w:rPr>
        <w:t>③处理结果报告采用书面报告、处理结果报告在初报和续报的基础上，报告处理事件的措施、过程和结果，事件潜在或间接的危害、社会影响、处理后的遗留问题，参加处理工作的有关部门和工作内容，出具有关</w:t>
      </w:r>
      <w:r>
        <w:rPr>
          <w:rFonts w:hint="eastAsia" w:ascii="仿宋" w:hAnsi="仿宋" w:eastAsia="仿宋" w:cs="仿宋"/>
          <w:sz w:val="24"/>
          <w:szCs w:val="24"/>
        </w:rPr>
        <w:t>危害与损失的证明文件等详细的情况。</w:t>
      </w:r>
    </w:p>
    <w:p>
      <w:pPr>
        <w:snapToGrid w:val="0"/>
        <w:spacing w:line="360" w:lineRule="auto"/>
        <w:ind w:firstLine="560" w:firstLineChars="200"/>
        <w:outlineLvl w:val="2"/>
        <w:rPr>
          <w:rFonts w:ascii="仿宋_GB2312" w:hAnsi="华文细黑" w:eastAsia="仿宋_GB2312"/>
          <w:sz w:val="28"/>
          <w:szCs w:val="28"/>
        </w:rPr>
      </w:pPr>
      <w:bookmarkStart w:id="154" w:name="_Toc410289793"/>
      <w:bookmarkStart w:id="155" w:name="_Toc18099"/>
      <w:r>
        <w:rPr>
          <w:rFonts w:hint="eastAsia" w:ascii="仿宋_GB2312" w:hAnsi="华文细黑" w:eastAsia="仿宋_GB2312"/>
          <w:sz w:val="28"/>
          <w:szCs w:val="28"/>
        </w:rPr>
        <w:t>6.5.2外部信息报告</w:t>
      </w:r>
      <w:bookmarkEnd w:id="154"/>
      <w:bookmarkEnd w:id="155"/>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（1）</w:t>
      </w:r>
      <w:r>
        <w:rPr>
          <w:rFonts w:hint="eastAsia" w:ascii="仿宋_GB2312" w:hAnsi="华文细黑" w:eastAsia="仿宋_GB2312"/>
          <w:sz w:val="24"/>
          <w:szCs w:val="24"/>
        </w:rPr>
        <w:t>向外部应急/救援力量报警和通知</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公司应急指挥小组在确认为重大环境事故后，企业主要负责人应按专业对口迅速向市主管部门等上级领导机关（消防、公安、环保、医疗卫生）报告。报警和通讯一般包括以下内容：联系人的姓名和电话；发生事故的单位名称和地址；事故发生时间或预期持续时间；事故类型；主要污染物和数量；当前状况下污染物的传播介质和传播方式，是否会产生单位外影响及程度；伤亡情况；需要采取什么应急措施和预防措施等其他必要信息。</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kern w:val="11"/>
          <w:sz w:val="24"/>
          <w:szCs w:val="24"/>
        </w:rPr>
        <w:t>（2）</w:t>
      </w:r>
      <w:r>
        <w:rPr>
          <w:rFonts w:hint="eastAsia" w:ascii="仿宋_GB2312" w:hAnsi="华文细黑" w:eastAsia="仿宋_GB2312"/>
          <w:sz w:val="24"/>
          <w:szCs w:val="24"/>
        </w:rPr>
        <w:t>向邻近单位及人员报警和通知</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当突发环境事件已经或者可能涉及附近单位的，应急指挥组应及时告知相邻单位负责人，并向市主管领导机构提出向周围可能受影响的区域通报的建议。</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事件造成人员伤亡及财产损失，超出本公司的应急能力，需要公司外部救援机构协调统一救援，应急救援办公室应及时用电话向区主管领导部门及周边单位报警，并发出请求支援信息，报警及请求支援内容如下：</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 xml:space="preserve">① 事件发生地点以及现场情况； </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② 事件可能影响的范围及危害程度；</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③ 已采取的救援措施；</w:t>
      </w:r>
    </w:p>
    <w:p>
      <w:pPr>
        <w:snapToGrid w:val="0"/>
        <w:spacing w:line="360" w:lineRule="auto"/>
        <w:ind w:firstLine="480" w:firstLineChars="200"/>
        <w:rPr>
          <w:rFonts w:ascii="仿宋_GB2312" w:hAnsi="华文细黑" w:eastAsia="仿宋_GB2312"/>
          <w:kern w:val="11"/>
          <w:sz w:val="24"/>
          <w:szCs w:val="24"/>
        </w:rPr>
      </w:pPr>
      <w:r>
        <w:rPr>
          <w:rFonts w:hint="eastAsia" w:ascii="仿宋_GB2312" w:hAnsi="华文细黑" w:eastAsia="仿宋_GB2312"/>
          <w:kern w:val="11"/>
          <w:sz w:val="24"/>
          <w:szCs w:val="24"/>
        </w:rPr>
        <w:t>④ 请求支援单位携带何种物资及器材。</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kern w:val="11"/>
          <w:sz w:val="24"/>
          <w:szCs w:val="24"/>
        </w:rPr>
        <w:t>警报采取紧急广播系统与警笛报警系统相结合的方式。紧急广播内容</w:t>
      </w:r>
      <w:r>
        <w:rPr>
          <w:rFonts w:hint="eastAsia" w:ascii="仿宋_GB2312" w:hAnsi="华文细黑" w:eastAsia="仿宋_GB2312"/>
          <w:sz w:val="24"/>
          <w:szCs w:val="24"/>
        </w:rPr>
        <w:t>应当尽可能简明，告诉公众该如何采取行动。</w:t>
      </w:r>
    </w:p>
    <w:p>
      <w:pPr>
        <w:snapToGrid w:val="0"/>
        <w:spacing w:line="360" w:lineRule="auto"/>
        <w:ind w:firstLine="560" w:firstLineChars="200"/>
        <w:outlineLvl w:val="1"/>
        <w:rPr>
          <w:rFonts w:ascii="仿宋_GB2312" w:hAnsi="华文细黑" w:eastAsia="仿宋_GB2312"/>
          <w:sz w:val="28"/>
          <w:szCs w:val="28"/>
        </w:rPr>
      </w:pPr>
      <w:bookmarkStart w:id="156" w:name="_Toc2375"/>
      <w:r>
        <w:rPr>
          <w:rFonts w:hint="eastAsia" w:ascii="仿宋_GB2312" w:hAnsi="华文细黑" w:eastAsia="仿宋_GB2312"/>
          <w:sz w:val="28"/>
          <w:szCs w:val="28"/>
        </w:rPr>
        <w:t>6.6 应急终止</w:t>
      </w:r>
      <w:bookmarkEnd w:id="147"/>
      <w:bookmarkEnd w:id="148"/>
      <w:bookmarkEnd w:id="149"/>
      <w:bookmarkEnd w:id="156"/>
    </w:p>
    <w:p>
      <w:pPr>
        <w:snapToGrid w:val="0"/>
        <w:spacing w:line="360" w:lineRule="auto"/>
        <w:ind w:firstLine="560" w:firstLineChars="200"/>
        <w:outlineLvl w:val="2"/>
        <w:rPr>
          <w:rFonts w:ascii="仿宋_GB2312" w:hAnsi="华文细黑" w:eastAsia="仿宋_GB2312"/>
          <w:sz w:val="28"/>
          <w:szCs w:val="28"/>
        </w:rPr>
      </w:pPr>
      <w:bookmarkStart w:id="157" w:name="_Toc32673"/>
      <w:bookmarkStart w:id="158" w:name="_Toc410289803"/>
      <w:r>
        <w:rPr>
          <w:rFonts w:hint="eastAsia" w:ascii="仿宋_GB2312" w:hAnsi="华文细黑" w:eastAsia="仿宋_GB2312"/>
          <w:sz w:val="28"/>
          <w:szCs w:val="28"/>
        </w:rPr>
        <w:t>6.6.1 应急终止条件</w:t>
      </w:r>
      <w:bookmarkEnd w:id="157"/>
      <w:bookmarkEnd w:id="158"/>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符合下列条件，应急反应即可终止</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当事故得到控制，事故条件已经消除；</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污染源的泄漏或释放已降到规定限值之内；</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 事件所造成的危害已经被彻底消除，无续发的可能；</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 事件现场的各种作专业应急处置行动已无继续的必要；</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(5) 采取并继续采取一切必要的防护措施以保护公众免受污染，并使事故的中长期后果可能引起的污染降至合理可行尽量低的水平。</w:t>
      </w:r>
    </w:p>
    <w:p>
      <w:pPr>
        <w:snapToGrid w:val="0"/>
        <w:spacing w:line="360" w:lineRule="auto"/>
        <w:ind w:firstLine="560" w:firstLineChars="200"/>
        <w:outlineLvl w:val="2"/>
        <w:rPr>
          <w:rFonts w:ascii="仿宋_GB2312" w:hAnsi="华文细黑" w:eastAsia="仿宋_GB2312"/>
          <w:sz w:val="28"/>
          <w:szCs w:val="28"/>
        </w:rPr>
      </w:pPr>
      <w:bookmarkStart w:id="159" w:name="_Toc14915"/>
      <w:bookmarkStart w:id="160" w:name="_Toc410289804"/>
      <w:r>
        <w:rPr>
          <w:rFonts w:hint="eastAsia" w:ascii="仿宋_GB2312" w:hAnsi="华文细黑" w:eastAsia="仿宋_GB2312"/>
          <w:sz w:val="28"/>
          <w:szCs w:val="28"/>
        </w:rPr>
        <w:t>6.6.2 应急终止程序</w:t>
      </w:r>
      <w:bookmarkEnd w:id="159"/>
      <w:bookmarkEnd w:id="160"/>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抢险救援组确认终止时间，报应急指挥小组批准；</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应急指挥小组下达应急终止命令；</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(3) 应急状态终止后，应根据有关指示和实际情况，继续进行跟踪环境监测和总结评估工作。</w:t>
      </w:r>
    </w:p>
    <w:p>
      <w:pPr>
        <w:snapToGrid w:val="0"/>
        <w:spacing w:line="360" w:lineRule="auto"/>
        <w:ind w:firstLine="560" w:firstLineChars="200"/>
        <w:outlineLvl w:val="2"/>
        <w:rPr>
          <w:rFonts w:ascii="仿宋_GB2312" w:hAnsi="华文细黑" w:eastAsia="仿宋_GB2312"/>
          <w:sz w:val="28"/>
          <w:szCs w:val="28"/>
        </w:rPr>
      </w:pPr>
      <w:bookmarkStart w:id="161" w:name="_Toc27005"/>
      <w:bookmarkStart w:id="162" w:name="_Toc410289805"/>
      <w:r>
        <w:rPr>
          <w:rFonts w:hint="eastAsia" w:ascii="仿宋_GB2312" w:hAnsi="华文细黑" w:eastAsia="仿宋_GB2312"/>
          <w:sz w:val="28"/>
          <w:szCs w:val="28"/>
        </w:rPr>
        <w:t>6.6.3应急终止后的行动</w:t>
      </w:r>
      <w:bookmarkEnd w:id="161"/>
      <w:bookmarkEnd w:id="162"/>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通知本单位相关部门、周边企业（或事业）单位、社区及人员事件危险已解除。</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对现场中暴露的工作人员、应急行动人员和受污染设备进行清洁净化。</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 应急指挥小组配合有关部门查找事件原因，防止类似问题的重复出现。</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 编制突发环境事件总结报告，于应急终止后上报。</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(5) 根据环境事件的类别，由相关专业主管部门组织对环境应急预案进行评估，并及时修订。</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(6) 参加应急行动的部门分别组织、指导环境应急救援队伍维护、保养应急仪器设备，使之始终保持良好的技术状态</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(7) 进行环境危害调查与评估，对周边大气环境进行检查，统计周边人员的健康状况（主要是中毒、致死情况）。</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(8) 对于由于本公司的环境事故而造成周边人员伤害的，统计伤害程度及范围，对其进行适当经济补偿。</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(9) 根据事故调查结果，对公司现有的防范措施与应急预案做出评价，指出其有效性和不足之处，提出整改意见。</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(10) 做出污染危害评估报告，设置应急事故专门记录人员，建立档案和专门报告制度，设专门部门负责管理，并上报当地政府。</w:t>
      </w:r>
    </w:p>
    <w:p>
      <w:pPr>
        <w:snapToGrid w:val="0"/>
        <w:spacing w:line="360" w:lineRule="auto"/>
        <w:jc w:val="center"/>
        <w:outlineLvl w:val="0"/>
        <w:rPr>
          <w:rFonts w:ascii="仿宋_GB2312" w:hAnsi="华文细黑" w:eastAsia="仿宋_GB2312"/>
          <w:b/>
          <w:sz w:val="28"/>
          <w:szCs w:val="28"/>
        </w:rPr>
      </w:pPr>
      <w:bookmarkStart w:id="163" w:name="_Toc224965893"/>
      <w:bookmarkStart w:id="164" w:name="_Toc225244071"/>
      <w:bookmarkStart w:id="165" w:name="_Toc410289806"/>
      <w:r>
        <w:rPr>
          <w:rFonts w:ascii="仿宋_GB2312" w:hAnsi="华文细黑" w:eastAsia="仿宋_GB2312"/>
          <w:b/>
          <w:sz w:val="32"/>
          <w:szCs w:val="32"/>
        </w:rPr>
        <w:br w:type="page"/>
      </w:r>
      <w:bookmarkStart w:id="166" w:name="_Toc21985"/>
      <w:r>
        <w:rPr>
          <w:rFonts w:hint="eastAsia" w:ascii="仿宋_GB2312" w:hAnsi="华文细黑" w:eastAsia="仿宋_GB2312"/>
          <w:b/>
          <w:sz w:val="32"/>
          <w:szCs w:val="32"/>
        </w:rPr>
        <w:t>7后期处置</w:t>
      </w:r>
      <w:bookmarkEnd w:id="163"/>
      <w:bookmarkEnd w:id="164"/>
      <w:bookmarkEnd w:id="165"/>
      <w:bookmarkEnd w:id="166"/>
    </w:p>
    <w:p>
      <w:pPr>
        <w:snapToGrid w:val="0"/>
        <w:spacing w:line="360" w:lineRule="auto"/>
        <w:ind w:firstLine="560" w:firstLineChars="200"/>
        <w:outlineLvl w:val="1"/>
        <w:rPr>
          <w:rFonts w:ascii="仿宋_GB2312" w:hAnsi="华文细黑" w:eastAsia="仿宋_GB2312"/>
          <w:sz w:val="28"/>
          <w:szCs w:val="28"/>
        </w:rPr>
      </w:pPr>
      <w:bookmarkStart w:id="167" w:name="_Toc7213"/>
      <w:bookmarkStart w:id="168" w:name="_Toc410289807"/>
      <w:r>
        <w:rPr>
          <w:rFonts w:hint="eastAsia" w:ascii="仿宋_GB2312" w:hAnsi="华文细黑" w:eastAsia="仿宋_GB2312"/>
          <w:sz w:val="28"/>
          <w:szCs w:val="28"/>
        </w:rPr>
        <w:t>7.1善后处置</w:t>
      </w:r>
      <w:bookmarkEnd w:id="167"/>
      <w:bookmarkEnd w:id="168"/>
    </w:p>
    <w:p>
      <w:pPr>
        <w:snapToGrid w:val="0"/>
        <w:spacing w:line="360" w:lineRule="auto"/>
        <w:ind w:firstLine="560" w:firstLineChars="200"/>
        <w:outlineLvl w:val="2"/>
        <w:rPr>
          <w:rFonts w:ascii="仿宋_GB2312" w:hAnsi="华文细黑" w:eastAsia="仿宋_GB2312"/>
          <w:sz w:val="28"/>
          <w:szCs w:val="28"/>
        </w:rPr>
      </w:pPr>
      <w:bookmarkStart w:id="169" w:name="_Toc31186"/>
      <w:r>
        <w:rPr>
          <w:rFonts w:hint="eastAsia" w:ascii="仿宋_GB2312" w:hAnsi="华文细黑" w:eastAsia="仿宋_GB2312"/>
          <w:sz w:val="28"/>
          <w:szCs w:val="28"/>
        </w:rPr>
        <w:t>7.1.1善后处置措施</w:t>
      </w:r>
      <w:bookmarkEnd w:id="169"/>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突发环境事件发生后，对受伤人员，企业应给予关心，安定受伤者的情绪，对受伤人员进行补偿等工作。</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对外部群众人员，要做好受污染区域内群众的思想工作，安定群众情绪，并尽快开展善后处置工作，包括人员安置、补偿、宣传教育等工作。</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 对突发环境事件产生的污染物进行认真收集、清理。</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 对于此次事故，主管领导应组织有关部门分析事故原因，汲取事故教训，指挥组要将事故情况进行登记、整理和存档。做好突发环境事件记录和突发环境事件后的交接工作，制订切实可行的防范措施，防止类似事故发生。</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(5) 组织有关专家对受灾范围进行科学评估，做好疫病防治、环境污染清除、生态恢复等工作。</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(6) 积极开展在保险公司的理赔工作，做好现场的保护工作。</w:t>
      </w:r>
    </w:p>
    <w:p>
      <w:pPr>
        <w:snapToGrid w:val="0"/>
        <w:spacing w:line="360" w:lineRule="auto"/>
        <w:ind w:firstLine="560" w:firstLineChars="200"/>
        <w:outlineLvl w:val="2"/>
        <w:rPr>
          <w:rFonts w:ascii="仿宋_GB2312" w:hAnsi="华文细黑" w:eastAsia="仿宋_GB2312"/>
          <w:sz w:val="28"/>
          <w:szCs w:val="28"/>
        </w:rPr>
      </w:pPr>
      <w:bookmarkStart w:id="170" w:name="_Toc410289808"/>
      <w:bookmarkStart w:id="171" w:name="_Toc5754"/>
      <w:r>
        <w:rPr>
          <w:rFonts w:hint="eastAsia" w:ascii="仿宋_GB2312" w:hAnsi="华文细黑" w:eastAsia="仿宋_GB2312"/>
          <w:sz w:val="28"/>
          <w:szCs w:val="28"/>
        </w:rPr>
        <w:t>7.1.2 污染物处理</w:t>
      </w:r>
      <w:bookmarkEnd w:id="170"/>
      <w:bookmarkEnd w:id="171"/>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事故应急过程中产生的污染物必须及时全面彻底清理和统一收集，并严格按有关法律法规要求进行分类处理。</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对于危险废物必须统一收集后交由有有资质的单位处理，转移危险废物必须按环保部门的规定办理危险废物转移手续。</w:t>
      </w:r>
    </w:p>
    <w:p>
      <w:pPr>
        <w:snapToGrid w:val="0"/>
        <w:spacing w:line="360" w:lineRule="auto"/>
        <w:ind w:firstLine="560" w:firstLineChars="200"/>
        <w:outlineLvl w:val="2"/>
        <w:rPr>
          <w:rFonts w:ascii="仿宋_GB2312" w:hAnsi="华文细黑" w:eastAsia="仿宋_GB2312"/>
          <w:sz w:val="28"/>
          <w:szCs w:val="28"/>
        </w:rPr>
      </w:pPr>
      <w:bookmarkStart w:id="172" w:name="_Toc2603"/>
      <w:bookmarkStart w:id="173" w:name="_Toc410289809"/>
      <w:r>
        <w:rPr>
          <w:rFonts w:hint="eastAsia" w:ascii="仿宋_GB2312" w:hAnsi="华文细黑" w:eastAsia="仿宋_GB2312"/>
          <w:sz w:val="28"/>
          <w:szCs w:val="28"/>
        </w:rPr>
        <w:t>7.1.3恢复重建</w:t>
      </w:r>
      <w:bookmarkEnd w:id="172"/>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维修、保养应急仪器设备。</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开展恢复生产的工作。</w:t>
      </w:r>
    </w:p>
    <w:p>
      <w:pPr>
        <w:snapToGrid w:val="0"/>
        <w:spacing w:line="360" w:lineRule="auto"/>
        <w:ind w:firstLine="480" w:firstLineChars="200"/>
        <w:rPr>
          <w:rFonts w:ascii="仿宋_GB2312" w:hAnsi="华文细黑" w:eastAsia="仿宋_GB2312"/>
          <w:sz w:val="28"/>
          <w:szCs w:val="28"/>
        </w:rPr>
      </w:pPr>
      <w:r>
        <w:rPr>
          <w:rFonts w:hint="eastAsia" w:ascii="仿宋_GB2312" w:hAnsi="华文细黑" w:eastAsia="仿宋_GB2312"/>
          <w:kern w:val="11"/>
          <w:sz w:val="24"/>
          <w:szCs w:val="24"/>
        </w:rPr>
        <w:t>(3) 根据专家建议，开展生态恢复工作。</w:t>
      </w:r>
    </w:p>
    <w:p>
      <w:pPr>
        <w:snapToGrid w:val="0"/>
        <w:spacing w:line="360" w:lineRule="auto"/>
        <w:ind w:firstLine="560" w:firstLineChars="200"/>
        <w:outlineLvl w:val="1"/>
        <w:rPr>
          <w:rFonts w:ascii="仿宋_GB2312" w:hAnsi="华文细黑" w:eastAsia="仿宋_GB2312"/>
          <w:sz w:val="28"/>
          <w:szCs w:val="28"/>
        </w:rPr>
      </w:pPr>
      <w:bookmarkStart w:id="174" w:name="_Toc21197"/>
      <w:r>
        <w:rPr>
          <w:rFonts w:hint="eastAsia" w:ascii="仿宋_GB2312" w:hAnsi="华文细黑" w:eastAsia="仿宋_GB2312"/>
          <w:sz w:val="28"/>
          <w:szCs w:val="28"/>
        </w:rPr>
        <w:t>7.2调查与评估</w:t>
      </w:r>
      <w:bookmarkEnd w:id="173"/>
      <w:bookmarkEnd w:id="174"/>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 评估所有的应急日志、记录、书面信息等。</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 组织事故调查组调查事故原因，评估造成应急状态的事故，防止出现类似事故。</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 评估应急期间所采取的一切行动。</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 根据实践的经验，修改现有的应急计划和程序。</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(5) 应急终止后，事故调查组应在10个工作日内向公司应急办公室提交事故的总结报告，应急办负责汇总和系统整理应急响应情况，并在事故后一个月内向应急指挥小组提交总结报告。</w:t>
      </w:r>
    </w:p>
    <w:p>
      <w:pPr>
        <w:snapToGrid w:val="0"/>
        <w:spacing w:line="360" w:lineRule="auto"/>
        <w:ind w:firstLine="560" w:firstLineChars="200"/>
        <w:outlineLvl w:val="1"/>
        <w:rPr>
          <w:rFonts w:ascii="仿宋_GB2312" w:hAnsi="华文细黑" w:eastAsia="仿宋_GB2312"/>
          <w:sz w:val="28"/>
          <w:szCs w:val="28"/>
        </w:rPr>
      </w:pPr>
      <w:bookmarkStart w:id="175" w:name="_Toc19380"/>
      <w:r>
        <w:rPr>
          <w:rFonts w:hint="eastAsia" w:ascii="仿宋_GB2312" w:hAnsi="华文细黑" w:eastAsia="仿宋_GB2312"/>
          <w:sz w:val="28"/>
          <w:szCs w:val="28"/>
        </w:rPr>
        <w:t>7.3保险</w:t>
      </w:r>
      <w:bookmarkEnd w:id="175"/>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公司为员工办理的保险为：养老保险、医疗保险、失业保险和工伤保险。发生重大环境事故后，受灾人员应视为工伤，享受工伤保险。</w:t>
      </w:r>
    </w:p>
    <w:p>
      <w:pPr>
        <w:snapToGrid w:val="0"/>
        <w:spacing w:line="360" w:lineRule="auto"/>
        <w:jc w:val="center"/>
        <w:outlineLvl w:val="0"/>
        <w:rPr>
          <w:rFonts w:ascii="仿宋_GB2312" w:hAnsi="华文细黑" w:eastAsia="仿宋_GB2312"/>
          <w:b/>
          <w:sz w:val="28"/>
          <w:szCs w:val="28"/>
        </w:rPr>
      </w:pPr>
      <w:bookmarkStart w:id="176" w:name="_Toc410289811"/>
      <w:bookmarkStart w:id="177" w:name="_Toc224965894"/>
      <w:bookmarkStart w:id="178" w:name="_Toc225244072"/>
      <w:r>
        <w:rPr>
          <w:rFonts w:ascii="仿宋_GB2312" w:hAnsi="华文细黑" w:eastAsia="仿宋_GB2312"/>
          <w:b/>
          <w:sz w:val="32"/>
          <w:szCs w:val="32"/>
        </w:rPr>
        <w:br w:type="page"/>
      </w:r>
      <w:bookmarkStart w:id="179" w:name="_Toc28365"/>
      <w:r>
        <w:rPr>
          <w:rFonts w:hint="eastAsia" w:ascii="仿宋_GB2312" w:hAnsi="华文细黑" w:eastAsia="仿宋_GB2312"/>
          <w:b/>
          <w:sz w:val="32"/>
          <w:szCs w:val="32"/>
        </w:rPr>
        <w:t>8应急保障</w:t>
      </w:r>
      <w:bookmarkEnd w:id="179"/>
    </w:p>
    <w:p>
      <w:pPr>
        <w:snapToGrid w:val="0"/>
        <w:spacing w:line="360" w:lineRule="auto"/>
        <w:ind w:firstLine="560" w:firstLineChars="200"/>
        <w:outlineLvl w:val="1"/>
        <w:rPr>
          <w:rFonts w:ascii="仿宋_GB2312" w:hAnsi="华文细黑" w:eastAsia="仿宋_GB2312"/>
          <w:sz w:val="28"/>
          <w:szCs w:val="28"/>
        </w:rPr>
      </w:pPr>
      <w:bookmarkStart w:id="180" w:name="_Toc2443"/>
      <w:bookmarkStart w:id="181" w:name="_Toc410289817"/>
      <w:r>
        <w:rPr>
          <w:rFonts w:hint="eastAsia" w:ascii="仿宋_GB2312" w:hAnsi="华文细黑" w:eastAsia="仿宋_GB2312"/>
          <w:sz w:val="28"/>
          <w:szCs w:val="28"/>
        </w:rPr>
        <w:t>8.1经费保障</w:t>
      </w:r>
      <w:bookmarkEnd w:id="180"/>
      <w:bookmarkEnd w:id="181"/>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应急专项经费由公司设立的专用账户提供。该账户内资金仅限用于突发环境事件，不得以任何理由用作他用，从而保障应急状态时应急经费的及时到位。</w:t>
      </w:r>
    </w:p>
    <w:p>
      <w:pPr>
        <w:snapToGrid w:val="0"/>
        <w:spacing w:line="360" w:lineRule="auto"/>
        <w:ind w:firstLine="560" w:firstLineChars="200"/>
        <w:outlineLvl w:val="1"/>
        <w:rPr>
          <w:rFonts w:ascii="仿宋_GB2312" w:hAnsi="华文细黑" w:eastAsia="仿宋_GB2312"/>
          <w:sz w:val="28"/>
          <w:szCs w:val="28"/>
        </w:rPr>
      </w:pPr>
      <w:bookmarkStart w:id="182" w:name="_Toc25826"/>
      <w:bookmarkStart w:id="183" w:name="_Toc410289818"/>
      <w:r>
        <w:rPr>
          <w:rFonts w:hint="eastAsia" w:ascii="仿宋_GB2312" w:hAnsi="华文细黑" w:eastAsia="仿宋_GB2312"/>
          <w:sz w:val="28"/>
          <w:szCs w:val="28"/>
        </w:rPr>
        <w:t>8.2应急物资装备保障</w:t>
      </w:r>
      <w:bookmarkEnd w:id="182"/>
      <w:bookmarkEnd w:id="183"/>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为保证在发生环境事件时能有效防范对环境的污染和扩散，公司在危险目标周围场所配备应急救援保障设备及器材，包括防护服、喷淋系统、消火栓、灭火器、呼吸器、对讲机等。应急救援器材定点存放，专人管理，责任到人，未经许可，任何人不得随意挪动。建立应急救援器材管理台帐，对器材进行定期维护和保养，并做好维护和保养记录，确保应急状态下好用。（应急物资具体见附件）。</w:t>
      </w:r>
    </w:p>
    <w:p>
      <w:pPr>
        <w:snapToGrid w:val="0"/>
        <w:spacing w:line="360" w:lineRule="auto"/>
        <w:ind w:firstLine="560" w:firstLineChars="200"/>
        <w:outlineLvl w:val="1"/>
        <w:rPr>
          <w:rFonts w:ascii="仿宋_GB2312" w:hAnsi="华文细黑" w:eastAsia="仿宋_GB2312"/>
          <w:sz w:val="28"/>
          <w:szCs w:val="28"/>
        </w:rPr>
      </w:pPr>
      <w:bookmarkStart w:id="184" w:name="_Toc410289819"/>
      <w:bookmarkStart w:id="185" w:name="_Toc26906"/>
      <w:r>
        <w:rPr>
          <w:rFonts w:hint="eastAsia" w:ascii="仿宋_GB2312" w:hAnsi="华文细黑" w:eastAsia="仿宋_GB2312"/>
          <w:sz w:val="28"/>
          <w:szCs w:val="28"/>
        </w:rPr>
        <w:t>8.3应急队伍保障</w:t>
      </w:r>
      <w:bookmarkEnd w:id="184"/>
      <w:bookmarkEnd w:id="185"/>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8"/>
          <w:szCs w:val="28"/>
        </w:rPr>
        <w:t>一、内部救援</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（1）公司组建应急抢险救援小组和义务消防队，开展应急救援培训与训练及演练，不断提高应急救援能力；</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（2）各相关部门负责人都需参加应急培训。</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8"/>
          <w:szCs w:val="28"/>
        </w:rPr>
        <w:t>二、外部救援</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（1）发生重大事故，指挥部成员通知所在车间和相关部门，按专业对口迅速向公安局、安监局、环保局、卫生局、消防队等上级部门报告事故情况。</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（2）发生重大事故，本单位抢险力量不足时，指挥部应立即请求外援，社会支援联系号码张贴在警卫室，号码根据情况及时调整。</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（3）社会支援队伍进公司时，人力资源部要派专人在大门口接应，引导并告知安全注意事项。</w:t>
      </w:r>
    </w:p>
    <w:p>
      <w:pPr>
        <w:snapToGrid w:val="0"/>
        <w:spacing w:line="360" w:lineRule="auto"/>
        <w:ind w:firstLine="560" w:firstLineChars="200"/>
        <w:outlineLvl w:val="1"/>
        <w:rPr>
          <w:rFonts w:ascii="仿宋_GB2312" w:hAnsi="华文细黑" w:eastAsia="仿宋_GB2312"/>
          <w:b/>
          <w:sz w:val="28"/>
          <w:szCs w:val="28"/>
        </w:rPr>
      </w:pPr>
      <w:bookmarkStart w:id="186" w:name="_Toc410289820"/>
      <w:bookmarkStart w:id="187" w:name="_Toc3822"/>
      <w:r>
        <w:rPr>
          <w:rFonts w:hint="eastAsia" w:ascii="仿宋_GB2312" w:hAnsi="华文细黑" w:eastAsia="仿宋_GB2312"/>
          <w:sz w:val="28"/>
          <w:szCs w:val="28"/>
        </w:rPr>
        <w:t>8.4通信与信息保障措施</w:t>
      </w:r>
      <w:bookmarkEnd w:id="186"/>
      <w:bookmarkEnd w:id="187"/>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（1）环保科负责公司电信设施的配备维护，保障通讯畅通，建立各部门负责人和主要应急人员通讯录，定期确认各联络电话，遇人员或通讯方式变更时及时更新；</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（2）各岗位、人员负责维护配备使用的电话，确保完好；</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（3）各应急部门主要负责人手机必须保持24小时开机，号码如有变化，应及时通知环保科。</w:t>
      </w:r>
    </w:p>
    <w:p>
      <w:pPr>
        <w:snapToGrid w:val="0"/>
        <w:spacing w:line="360" w:lineRule="auto"/>
        <w:ind w:firstLine="560" w:firstLineChars="200"/>
        <w:outlineLvl w:val="1"/>
        <w:rPr>
          <w:rFonts w:ascii="仿宋_GB2312" w:hAnsi="华文细黑" w:eastAsia="仿宋_GB2312"/>
          <w:sz w:val="28"/>
          <w:szCs w:val="28"/>
        </w:rPr>
      </w:pPr>
      <w:bookmarkStart w:id="188" w:name="_Toc26218"/>
      <w:bookmarkStart w:id="189" w:name="_Toc416345465"/>
      <w:r>
        <w:rPr>
          <w:rFonts w:hint="eastAsia" w:ascii="仿宋_GB2312" w:hAnsi="华文细黑" w:eastAsia="仿宋_GB2312"/>
          <w:sz w:val="28"/>
          <w:szCs w:val="28"/>
        </w:rPr>
        <w:t>8.5医疗卫生保障</w:t>
      </w:r>
      <w:bookmarkEnd w:id="188"/>
      <w:bookmarkEnd w:id="189"/>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（1）办公室负责落实与地方医疗卫生、职业病防治部门的应急救援协议的签订，落实急救药箱药品，急救器材的配备与更新。组织现场应急人员与医疗急救人员定期的医疗急救知识与技术的培训。</w:t>
      </w:r>
    </w:p>
    <w:p>
      <w:pPr>
        <w:snapToGrid w:val="0"/>
        <w:spacing w:line="360" w:lineRule="auto"/>
        <w:ind w:firstLine="560" w:firstLineChars="200"/>
        <w:outlineLvl w:val="1"/>
        <w:rPr>
          <w:rFonts w:ascii="仿宋_GB2312" w:hAnsi="华文细黑" w:eastAsia="仿宋_GB2312"/>
          <w:sz w:val="28"/>
          <w:szCs w:val="28"/>
        </w:rPr>
      </w:pPr>
      <w:bookmarkStart w:id="190" w:name="_Toc9151"/>
      <w:bookmarkStart w:id="191" w:name="_Toc416345466"/>
      <w:r>
        <w:rPr>
          <w:rFonts w:hint="eastAsia" w:ascii="仿宋_GB2312" w:hAnsi="华文细黑" w:eastAsia="仿宋_GB2312"/>
          <w:sz w:val="28"/>
          <w:szCs w:val="28"/>
        </w:rPr>
        <w:t>8.6交通运输保障</w:t>
      </w:r>
      <w:bookmarkEnd w:id="190"/>
      <w:bookmarkEnd w:id="191"/>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办公室负责保证所有汽车的完好，定期对汽车进行定级维护保养，并建立台账。</w:t>
      </w:r>
    </w:p>
    <w:p>
      <w:pPr>
        <w:snapToGrid w:val="0"/>
        <w:spacing w:line="360" w:lineRule="auto"/>
        <w:ind w:firstLine="560" w:firstLineChars="200"/>
        <w:outlineLvl w:val="1"/>
        <w:rPr>
          <w:rFonts w:ascii="仿宋_GB2312" w:hAnsi="华文细黑" w:eastAsia="仿宋_GB2312"/>
          <w:sz w:val="28"/>
          <w:szCs w:val="28"/>
        </w:rPr>
      </w:pPr>
      <w:bookmarkStart w:id="192" w:name="_Toc416345467"/>
      <w:bookmarkStart w:id="193" w:name="_Toc1109"/>
      <w:r>
        <w:rPr>
          <w:rFonts w:hint="eastAsia" w:ascii="仿宋_GB2312" w:hAnsi="华文细黑" w:eastAsia="仿宋_GB2312"/>
          <w:sz w:val="28"/>
          <w:szCs w:val="28"/>
        </w:rPr>
        <w:t>8.7治安保障</w:t>
      </w:r>
      <w:bookmarkEnd w:id="192"/>
      <w:bookmarkEnd w:id="193"/>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安全科负责应急处置工作中的治安保障工作。突发公共事件发生后，由安全科牵头、事故发生单位协助，在现场周围设立警戒区和警戒哨，维护秩序，及时疏散群众。要积极发动和组织群众，开展群防群治，公安部门实施治安保卫工作。必要时刻协调其他队伍协助警戒。警力不足时，可向北沟镇政府请求支援。</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突发公共事件发生后，应加强对重点地区、重点场所、重点人群、重要物资设备的防范保护。加强治安管理，必要时实行夜间巡逻，严惩趁“乱”制造事端和扰乱治安秩序的违法犯罪行为。</w:t>
      </w:r>
    </w:p>
    <w:p>
      <w:pPr>
        <w:snapToGrid w:val="0"/>
        <w:spacing w:line="360" w:lineRule="auto"/>
        <w:ind w:firstLine="560" w:firstLineChars="200"/>
        <w:outlineLvl w:val="1"/>
        <w:rPr>
          <w:rFonts w:ascii="仿宋_GB2312" w:hAnsi="华文细黑" w:eastAsia="仿宋_GB2312"/>
          <w:sz w:val="28"/>
          <w:szCs w:val="28"/>
        </w:rPr>
      </w:pPr>
      <w:bookmarkStart w:id="194" w:name="_Toc416345468"/>
      <w:bookmarkStart w:id="195" w:name="_Toc11517"/>
      <w:r>
        <w:rPr>
          <w:rFonts w:hint="eastAsia" w:ascii="仿宋_GB2312" w:hAnsi="华文细黑" w:eastAsia="仿宋_GB2312"/>
          <w:sz w:val="28"/>
          <w:szCs w:val="28"/>
        </w:rPr>
        <w:t>8.8技术储备与保障</w:t>
      </w:r>
      <w:bookmarkEnd w:id="194"/>
      <w:bookmarkEnd w:id="195"/>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指挥部的相关人员要积极组织有关专家和可研力量，在对国内外突发环境事件紧急处置的先进管理模式进行比较分析研究的基础上，对建立本公司综合减灾、紧急处置管理模式和运行机制进行探讨研究，加强先进救援技术、装备研究，当前尤其要加强信息传输和高层建筑火灾、化学事故、环境灾害等救援技术的研究。</w:t>
      </w:r>
    </w:p>
    <w:p>
      <w:pPr>
        <w:snapToGrid w:val="0"/>
        <w:spacing w:line="360" w:lineRule="auto"/>
        <w:ind w:firstLine="560" w:firstLineChars="200"/>
        <w:outlineLvl w:val="1"/>
        <w:rPr>
          <w:rFonts w:ascii="仿宋_GB2312" w:hAnsi="华文细黑" w:eastAsia="仿宋_GB2312"/>
          <w:sz w:val="28"/>
          <w:szCs w:val="28"/>
        </w:rPr>
      </w:pPr>
      <w:bookmarkStart w:id="196" w:name="_Toc22327"/>
      <w:bookmarkStart w:id="197" w:name="_Toc416345469"/>
      <w:r>
        <w:rPr>
          <w:rFonts w:hint="eastAsia" w:ascii="仿宋_GB2312" w:hAnsi="华文细黑" w:eastAsia="仿宋_GB2312"/>
          <w:sz w:val="28"/>
          <w:szCs w:val="28"/>
        </w:rPr>
        <w:t>8.9外部救援保障</w:t>
      </w:r>
      <w:bookmarkEnd w:id="196"/>
      <w:bookmarkEnd w:id="197"/>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综合部按照突发环境事件是否需要人民群主参与及需要参与的程度，相应确定动员的对象和范围。对需要人民群众广泛参与的或只有群众参与才能确保应对有效实施的，应深入发动群众，充分重视和利用好民力。</w:t>
      </w:r>
    </w:p>
    <w:p>
      <w:pPr>
        <w:snapToGrid w:val="0"/>
        <w:spacing w:line="360" w:lineRule="auto"/>
        <w:ind w:firstLine="560" w:firstLineChars="200"/>
        <w:outlineLvl w:val="1"/>
        <w:rPr>
          <w:rFonts w:ascii="仿宋_GB2312" w:hAnsi="华文细黑" w:eastAsia="仿宋_GB2312"/>
          <w:sz w:val="28"/>
          <w:szCs w:val="28"/>
        </w:rPr>
      </w:pPr>
      <w:bookmarkStart w:id="198" w:name="_Toc8614"/>
      <w:bookmarkStart w:id="199" w:name="_Toc416345470"/>
      <w:r>
        <w:rPr>
          <w:rFonts w:hint="eastAsia" w:ascii="仿宋_GB2312" w:hAnsi="华文细黑" w:eastAsia="仿宋_GB2312"/>
          <w:sz w:val="28"/>
          <w:szCs w:val="28"/>
        </w:rPr>
        <w:t>8.10后勤保障</w:t>
      </w:r>
      <w:bookmarkEnd w:id="198"/>
      <w:bookmarkEnd w:id="199"/>
    </w:p>
    <w:p>
      <w:pPr>
        <w:snapToGrid w:val="0"/>
        <w:spacing w:line="360" w:lineRule="auto"/>
        <w:ind w:firstLine="570"/>
        <w:rPr>
          <w:rFonts w:ascii="仿宋_GB2312" w:hAnsi="华文细黑" w:eastAsia="仿宋_GB2312"/>
          <w:b/>
          <w:sz w:val="24"/>
          <w:szCs w:val="24"/>
        </w:rPr>
      </w:pPr>
      <w:r>
        <w:rPr>
          <w:rFonts w:hint="eastAsia" w:ascii="仿宋_GB2312" w:hAnsi="华文细黑" w:eastAsia="仿宋_GB2312"/>
          <w:sz w:val="24"/>
          <w:szCs w:val="24"/>
        </w:rPr>
        <w:t>由生产车间、安全科、环保科、办公室统一管理应急方案要求所需的应急设施、设备和药品，制定应急设施、设备和药品的发放计划和布置点位，并形成应急装备分布图。设备维修人员定期对应急设施、设备和药品进行检查和维护，根据检查情况和现场变更情况及时更换和补充应急装备。</w:t>
      </w:r>
    </w:p>
    <w:p>
      <w:pPr>
        <w:snapToGrid w:val="0"/>
        <w:spacing w:line="360" w:lineRule="auto"/>
        <w:jc w:val="center"/>
        <w:outlineLvl w:val="0"/>
        <w:rPr>
          <w:rFonts w:ascii="仿宋_GB2312" w:hAnsi="华文细黑" w:eastAsia="仿宋_GB2312"/>
          <w:b/>
          <w:sz w:val="28"/>
          <w:szCs w:val="28"/>
        </w:rPr>
      </w:pPr>
      <w:r>
        <w:rPr>
          <w:rFonts w:ascii="仿宋_GB2312" w:hAnsi="华文细黑" w:eastAsia="仿宋_GB2312"/>
          <w:b/>
          <w:sz w:val="32"/>
          <w:szCs w:val="32"/>
        </w:rPr>
        <w:br w:type="page"/>
      </w:r>
      <w:bookmarkStart w:id="200" w:name="_Toc1527"/>
      <w:r>
        <w:rPr>
          <w:rFonts w:hint="eastAsia" w:ascii="仿宋_GB2312" w:hAnsi="华文细黑" w:eastAsia="仿宋_GB2312"/>
          <w:b/>
          <w:sz w:val="32"/>
          <w:szCs w:val="32"/>
        </w:rPr>
        <w:t>9</w:t>
      </w:r>
      <w:bookmarkEnd w:id="176"/>
      <w:r>
        <w:rPr>
          <w:rFonts w:hint="eastAsia" w:ascii="仿宋_GB2312" w:hAnsi="华文细黑" w:eastAsia="仿宋_GB2312"/>
          <w:b/>
          <w:sz w:val="32"/>
          <w:szCs w:val="32"/>
        </w:rPr>
        <w:t>监督管理</w:t>
      </w:r>
      <w:bookmarkEnd w:id="200"/>
    </w:p>
    <w:p>
      <w:pPr>
        <w:snapToGrid w:val="0"/>
        <w:spacing w:line="360" w:lineRule="auto"/>
        <w:ind w:firstLine="560" w:firstLineChars="200"/>
        <w:outlineLvl w:val="1"/>
        <w:rPr>
          <w:rFonts w:ascii="仿宋_GB2312" w:hAnsi="华文细黑" w:eastAsia="仿宋_GB2312"/>
          <w:sz w:val="28"/>
          <w:szCs w:val="28"/>
        </w:rPr>
      </w:pPr>
      <w:bookmarkStart w:id="201" w:name="_Toc410289812"/>
      <w:bookmarkStart w:id="202" w:name="_Toc29015"/>
      <w:r>
        <w:rPr>
          <w:rFonts w:hint="eastAsia" w:ascii="仿宋_GB2312" w:hAnsi="华文细黑" w:eastAsia="仿宋_GB2312"/>
          <w:sz w:val="28"/>
          <w:szCs w:val="28"/>
        </w:rPr>
        <w:t>9.1培训</w:t>
      </w:r>
      <w:bookmarkEnd w:id="201"/>
      <w:r>
        <w:rPr>
          <w:rFonts w:hint="eastAsia" w:ascii="仿宋_GB2312" w:hAnsi="华文细黑" w:eastAsia="仿宋_GB2312"/>
          <w:sz w:val="28"/>
          <w:szCs w:val="28"/>
        </w:rPr>
        <w:t>与演练</w:t>
      </w:r>
      <w:bookmarkEnd w:id="202"/>
    </w:p>
    <w:p>
      <w:pPr>
        <w:snapToGrid w:val="0"/>
        <w:spacing w:line="360" w:lineRule="auto"/>
        <w:ind w:firstLine="560" w:firstLineChars="200"/>
        <w:outlineLvl w:val="2"/>
        <w:rPr>
          <w:rFonts w:ascii="仿宋_GB2312" w:hAnsi="华文细黑" w:eastAsia="仿宋_GB2312"/>
          <w:sz w:val="28"/>
          <w:szCs w:val="28"/>
        </w:rPr>
      </w:pPr>
      <w:bookmarkStart w:id="203" w:name="_Toc31918"/>
      <w:r>
        <w:rPr>
          <w:rFonts w:hint="eastAsia" w:ascii="仿宋_GB2312" w:hAnsi="华文细黑" w:eastAsia="仿宋_GB2312"/>
          <w:sz w:val="28"/>
          <w:szCs w:val="28"/>
        </w:rPr>
        <w:t>9.1.1应急培训</w:t>
      </w:r>
      <w:bookmarkEnd w:id="203"/>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依据对本企业单位员工、周边工厂企业、人员情况的分析结果，明确培训如下内容：本公司事故应急救援和突发环境污染事故处理的人员培训分三个层次开展。</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1、车间班组级</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车间班组级是及时处理事故、紧急避险、自救互救的重要环节，同时也是事故及早发现、及时上报的关键，一般危险化学品事故在这一层上能够及时处理而避免，对班组职工开展事故急救处理培训非常重要。每半年开展一次，培训内容：</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（1）如何启动紧急警报系统；</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（2）化学品泄漏处理措施；</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（3）各种应急设备的使用方法；</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（4）防护用品的配戴；</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（5）如何安全疏散人群等基本操作；</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（6）急救与医疗的方法；</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2、公司级</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由董事长、副总经理、办公室主任、保卫科主任、环保科主任、安全科主任及车间主任等管理人员组成，成员能够熟练使用现场装备、设施等对事故进行可靠控制。每年进行两次，培训内容：</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（1）包括班组级培训所有内容</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（2）掌握应急救援预案，事故时按照预案有条不紊地组织应急救援。</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（3）针对车间生产实际情况，熟悉如何有效控制事故，避免事故失效和扩大化。</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（4）各部门依据应急救援的职责和分工开展工作</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（5）组织应急物资的调运</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（6）申请外部救援力量的报警方法，以及发布事故消息，组织周边社区、政府部门的疏散方法等</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（7）事故现场的警戒和隔离，以及事故现场的洗消方法。</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3、公众宣传</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每年都去周边相关村庄进行环境应急措施的宣传，宣传内容：</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（1）潜在的重大危险事故及其后果；</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（2）事故警报与通知的规定；</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（3）灭火器的使用以及灭火步骤的训练；</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（4）基本防护知识；</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（5）撤离的组织、方法和程序；</w:t>
      </w:r>
    </w:p>
    <w:p>
      <w:pPr>
        <w:snapToGrid w:val="0"/>
        <w:spacing w:line="360" w:lineRule="auto"/>
        <w:ind w:firstLine="480" w:firstLineChars="200"/>
        <w:rPr>
          <w:rFonts w:ascii="仿宋_GB2312" w:hAnsi="华文细黑" w:eastAsia="仿宋_GB2312"/>
          <w:sz w:val="24"/>
          <w:szCs w:val="24"/>
        </w:rPr>
      </w:pPr>
      <w:r>
        <w:rPr>
          <w:rFonts w:hint="eastAsia" w:ascii="仿宋_GB2312" w:hAnsi="华文细黑" w:eastAsia="仿宋_GB2312"/>
          <w:sz w:val="24"/>
          <w:szCs w:val="24"/>
        </w:rPr>
        <w:t>（6）自救与互救的基本常识。</w:t>
      </w:r>
    </w:p>
    <w:p>
      <w:pPr>
        <w:snapToGrid w:val="0"/>
        <w:spacing w:line="360" w:lineRule="auto"/>
        <w:ind w:firstLine="560" w:firstLineChars="200"/>
        <w:outlineLvl w:val="2"/>
        <w:rPr>
          <w:rFonts w:ascii="仿宋_GB2312" w:hAnsi="华文细黑" w:eastAsia="仿宋_GB2312"/>
          <w:sz w:val="28"/>
          <w:szCs w:val="28"/>
        </w:rPr>
      </w:pPr>
      <w:bookmarkStart w:id="204" w:name="_Toc410289813"/>
      <w:bookmarkStart w:id="205" w:name="_Toc28404"/>
      <w:r>
        <w:rPr>
          <w:rFonts w:hint="eastAsia" w:ascii="仿宋_GB2312" w:hAnsi="华文细黑" w:eastAsia="仿宋_GB2312"/>
          <w:sz w:val="28"/>
          <w:szCs w:val="28"/>
        </w:rPr>
        <w:t>9.1.2应急演练</w:t>
      </w:r>
      <w:bookmarkEnd w:id="204"/>
      <w:bookmarkEnd w:id="205"/>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（1）演练方式：</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公司应急演练采用综合演练的方式。</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（2）演练组织</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应急演练分为部门、公司级演练和配合政府部门演练三级。演练前制定演练方案，按演练级别报应急指挥负责人审批，且演练前落实所需的各种器材装备与物资、交通车辆、防护器材的准备，以确保演练顺利进行。</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（3）演练频次与范围</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部门级的演练以报警、报告程序、现场应急处置和紧急疏散等流程进行演练，演练频率每年2次；公司级的演练以多个应急小组之间进行相互协调进行的演练与公司级预案全部或部分功能的综合演练，演练频率每年1次；与政府有关部门的演练，视政府组织频率情况确定，亦可结合公司级组织的演练进行。</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（4）演练内容</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指挥及有关人员应履行的职责；人员撤离行动及组织能力；事故的应急处置情况；应急救援设施的应用情况；公司员工对预案的熟悉情况。</w:t>
      </w:r>
    </w:p>
    <w:p>
      <w:pPr>
        <w:snapToGrid w:val="0"/>
        <w:spacing w:line="360" w:lineRule="auto"/>
        <w:ind w:firstLine="570"/>
        <w:rPr>
          <w:rFonts w:ascii="仿宋_GB2312" w:eastAsia="仿宋_GB2312"/>
          <w:sz w:val="24"/>
          <w:szCs w:val="24"/>
        </w:rPr>
      </w:pPr>
      <w:r>
        <w:rPr>
          <w:rFonts w:hint="eastAsia" w:ascii="仿宋_GB2312" w:hAnsi="华文细黑" w:eastAsia="仿宋_GB2312"/>
          <w:sz w:val="24"/>
          <w:szCs w:val="24"/>
        </w:rPr>
        <w:t>（5）评估与总结</w:t>
      </w:r>
    </w:p>
    <w:p>
      <w:pPr>
        <w:snapToGrid w:val="0"/>
        <w:spacing w:line="360" w:lineRule="auto"/>
        <w:ind w:firstLine="570"/>
        <w:rPr>
          <w:rFonts w:ascii="仿宋_GB2312" w:eastAsia="仿宋_GB2312"/>
          <w:sz w:val="28"/>
          <w:szCs w:val="28"/>
        </w:rPr>
      </w:pPr>
      <w:r>
        <w:rPr>
          <w:rFonts w:hint="eastAsia" w:ascii="仿宋_GB2312" w:hAnsi="华文细黑" w:eastAsia="仿宋_GB2312"/>
          <w:sz w:val="24"/>
          <w:szCs w:val="24"/>
        </w:rPr>
        <w:t>每次演练完成后，由环保科对演练效果进行评估，以此检验应急预案的完整性、可操作性及存在的问题，进一步完善应急预案内容，将风险降为最低。</w:t>
      </w:r>
    </w:p>
    <w:p>
      <w:pPr>
        <w:snapToGrid w:val="0"/>
        <w:spacing w:line="360" w:lineRule="auto"/>
        <w:ind w:firstLine="560" w:firstLineChars="200"/>
        <w:outlineLvl w:val="1"/>
        <w:rPr>
          <w:rFonts w:ascii="仿宋_GB2312" w:hAnsi="华文细黑" w:eastAsia="仿宋_GB2312"/>
          <w:sz w:val="28"/>
          <w:szCs w:val="28"/>
        </w:rPr>
      </w:pPr>
      <w:bookmarkStart w:id="206" w:name="_Toc9525"/>
      <w:r>
        <w:rPr>
          <w:rFonts w:hint="eastAsia" w:ascii="仿宋_GB2312" w:hAnsi="华文细黑" w:eastAsia="仿宋_GB2312"/>
          <w:sz w:val="28"/>
          <w:szCs w:val="28"/>
        </w:rPr>
        <w:t>9.2奖励与责任追究</w:t>
      </w:r>
      <w:bookmarkEnd w:id="206"/>
    </w:p>
    <w:p>
      <w:pPr>
        <w:snapToGrid w:val="0"/>
        <w:spacing w:line="360" w:lineRule="auto"/>
        <w:ind w:firstLine="560" w:firstLineChars="200"/>
        <w:outlineLvl w:val="1"/>
        <w:rPr>
          <w:rFonts w:ascii="仿宋_GB2312" w:hAnsi="华文细黑" w:eastAsia="仿宋_GB2312"/>
          <w:sz w:val="28"/>
          <w:szCs w:val="28"/>
        </w:rPr>
      </w:pPr>
      <w:bookmarkStart w:id="207" w:name="_Toc15720"/>
      <w:r>
        <w:rPr>
          <w:rFonts w:hint="eastAsia" w:ascii="仿宋_GB2312" w:hAnsi="华文细黑" w:eastAsia="仿宋_GB2312"/>
          <w:sz w:val="28"/>
          <w:szCs w:val="28"/>
        </w:rPr>
        <w:t>9.2.1奖励</w:t>
      </w:r>
      <w:bookmarkEnd w:id="207"/>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奖励分为通报表扬和记功奖励两种形式。对于在抢险救援中有功的，挽救受灾人员生命的或者挽救厂内重要物资免受损失的，酌情给予一定奖励。奖励审批步骤：员工推荐、本人自荐或部门提名，综合部审核后，董事长审批。</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在突发环境事件应急救援工作中，有下列事迹之一的个人，给予一定奖励：</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（1）出色完成突发环境事件应急处置任务，成绩显著的；</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（2）对防止或挽救突发环境事件有功，使集体和人民群众的生命财产免受或者减少损失的；</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（3）对事件应急准备与响应提出重大建议，演练效果显著的；</w:t>
      </w:r>
    </w:p>
    <w:p>
      <w:pPr>
        <w:snapToGrid w:val="0"/>
        <w:spacing w:line="360" w:lineRule="auto"/>
        <w:ind w:firstLine="560" w:firstLineChars="200"/>
        <w:outlineLvl w:val="1"/>
        <w:rPr>
          <w:rFonts w:ascii="仿宋_GB2312" w:hAnsi="华文细黑" w:eastAsia="仿宋_GB2312"/>
          <w:sz w:val="28"/>
          <w:szCs w:val="28"/>
        </w:rPr>
      </w:pPr>
      <w:bookmarkStart w:id="208" w:name="_Toc23898"/>
      <w:r>
        <w:rPr>
          <w:rFonts w:hint="eastAsia" w:ascii="仿宋_GB2312" w:hAnsi="华文细黑" w:eastAsia="仿宋_GB2312"/>
          <w:sz w:val="28"/>
          <w:szCs w:val="28"/>
        </w:rPr>
        <w:t>9.2.2处罚</w:t>
      </w:r>
      <w:bookmarkEnd w:id="208"/>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处罚根据情节的严重程度分为：书面警告、通报批评、罚款和辞退。</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在突发环境事件工作中，有下列行为之一的，对有关责任人员视情节和危害后果，由单位给予行政处分，构成犯罪的，由司法机关依法追究刑事责任。</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（1）不认真履行环保法律、法规，而引发环境事件的；</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（2）拒绝承担突发环境事件应急准备义务的；</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（3）不按规定报告、通报突发环境事件真实情况的；</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（4）拒不执行突发环境事件应急预案，不服从命令和指挥，或者在事件应急响应时临阵脱逃的；</w:t>
      </w:r>
    </w:p>
    <w:p>
      <w:pPr>
        <w:snapToGrid w:val="0"/>
        <w:spacing w:line="360" w:lineRule="auto"/>
        <w:ind w:firstLine="570"/>
        <w:rPr>
          <w:rFonts w:ascii="仿宋_GB2312" w:hAnsi="华文细黑" w:eastAsia="仿宋_GB2312"/>
          <w:sz w:val="24"/>
          <w:szCs w:val="24"/>
        </w:rPr>
      </w:pPr>
      <w:r>
        <w:rPr>
          <w:rFonts w:hint="eastAsia" w:ascii="仿宋_GB2312" w:hAnsi="华文细黑" w:eastAsia="仿宋_GB2312"/>
          <w:sz w:val="24"/>
          <w:szCs w:val="24"/>
        </w:rPr>
        <w:t>（5）阻碍环境事件应急工作人员依法执行职务或进行破坏活动的；</w:t>
      </w:r>
    </w:p>
    <w:p>
      <w:pPr>
        <w:snapToGrid w:val="0"/>
        <w:spacing w:line="360" w:lineRule="auto"/>
        <w:ind w:firstLine="570"/>
        <w:rPr>
          <w:rFonts w:ascii="仿宋_GB2312" w:hAnsi="华文细黑" w:eastAsia="仿宋_GB2312"/>
          <w:sz w:val="28"/>
          <w:szCs w:val="28"/>
        </w:rPr>
      </w:pPr>
      <w:r>
        <w:rPr>
          <w:rFonts w:hint="eastAsia" w:ascii="仿宋_GB2312" w:hAnsi="华文细黑" w:eastAsia="仿宋_GB2312"/>
          <w:sz w:val="24"/>
          <w:szCs w:val="24"/>
        </w:rPr>
        <w:t>（6）散布谣言，扰乱社会秩序的。</w:t>
      </w:r>
    </w:p>
    <w:bookmarkEnd w:id="177"/>
    <w:bookmarkEnd w:id="178"/>
    <w:p>
      <w:pPr>
        <w:snapToGrid w:val="0"/>
        <w:spacing w:line="360" w:lineRule="auto"/>
        <w:jc w:val="center"/>
        <w:outlineLvl w:val="0"/>
        <w:rPr>
          <w:rFonts w:ascii="仿宋_GB2312" w:hAnsi="华文细黑" w:eastAsia="仿宋_GB2312"/>
          <w:b/>
          <w:sz w:val="28"/>
          <w:szCs w:val="28"/>
        </w:rPr>
      </w:pPr>
      <w:bookmarkStart w:id="209" w:name="_Toc410289826"/>
      <w:r>
        <w:rPr>
          <w:rFonts w:ascii="仿宋_GB2312" w:hAnsi="华文细黑" w:eastAsia="仿宋_GB2312"/>
          <w:b/>
          <w:sz w:val="32"/>
          <w:szCs w:val="32"/>
        </w:rPr>
        <w:br w:type="page"/>
      </w:r>
      <w:bookmarkStart w:id="210" w:name="_Toc14232"/>
      <w:r>
        <w:rPr>
          <w:rFonts w:hint="eastAsia" w:ascii="仿宋_GB2312" w:hAnsi="华文细黑" w:eastAsia="仿宋_GB2312"/>
          <w:b/>
          <w:sz w:val="32"/>
          <w:szCs w:val="32"/>
        </w:rPr>
        <w:t>10</w:t>
      </w:r>
      <w:bookmarkEnd w:id="209"/>
      <w:r>
        <w:rPr>
          <w:rFonts w:hint="eastAsia" w:ascii="仿宋_GB2312" w:hAnsi="华文细黑" w:eastAsia="仿宋_GB2312"/>
          <w:b/>
          <w:sz w:val="32"/>
          <w:szCs w:val="32"/>
        </w:rPr>
        <w:t>附则</w:t>
      </w:r>
      <w:bookmarkEnd w:id="210"/>
    </w:p>
    <w:p>
      <w:pPr>
        <w:snapToGrid w:val="0"/>
        <w:spacing w:line="360" w:lineRule="auto"/>
        <w:ind w:firstLine="560" w:firstLineChars="200"/>
        <w:outlineLvl w:val="1"/>
        <w:rPr>
          <w:rFonts w:ascii="仿宋_GB2312" w:hAnsi="华文细黑" w:eastAsia="仿宋_GB2312"/>
          <w:sz w:val="28"/>
          <w:szCs w:val="28"/>
        </w:rPr>
      </w:pPr>
      <w:bookmarkStart w:id="211" w:name="_Toc24464"/>
      <w:r>
        <w:rPr>
          <w:rFonts w:hint="eastAsia" w:ascii="仿宋_GB2312" w:hAnsi="华文细黑" w:eastAsia="仿宋_GB2312"/>
          <w:sz w:val="28"/>
          <w:szCs w:val="28"/>
        </w:rPr>
        <w:t>10.1术语和定义</w:t>
      </w:r>
      <w:bookmarkEnd w:id="211"/>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（1）危险废物</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指列入《国家危险废物名录》或者根据危险废物鉴别标准和危险废物鉴别技术规范（HJ/T298）认定的具有危险特性的固体废物。</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（2）环境风险源</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指可能导致突发环境事件的污染源，以及生产、贮存、经营、使用、运输危险物质或产生、收集、利用、处置危险废物的场所、设备和装置。</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（3）环境敏感区</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根据《建设项目环境影响评价分类管理名录》规定，指依法设立的各级各类自然、文化保护地，以及对建设项目的某类污染因子或者生态影响因子特别敏感的区域。</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（4）突发环境事件</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bCs/>
          <w:sz w:val="24"/>
          <w:szCs w:val="24"/>
        </w:rPr>
        <w:t>是指突然发生，造成或可能造成环境污染或生态破坏，危及人民群众生命财产安全，影响社会公共秩序，需要采取紧急措施予以应对的事件。</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（5）应急救援</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指突发环境事件发生时，采取的消除、减少事件危害和防止事件恶化，最大限度降低事件损失的措施。</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（6）应急监测</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指在环境应急情况下，为发现和查明环境污染情况和污染范围而进行的环境监测，包括定点监测和动态监测。</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（7）恢复</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指在突发环境事件的影响得到初步控制后，为使生产、生活和生态环境尽快恢复到正常状态而采取的措施或行动。</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（8）环境应急预案</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bCs/>
          <w:sz w:val="24"/>
          <w:szCs w:val="24"/>
        </w:rPr>
        <w:t>环境应急预案</w:t>
      </w:r>
      <w:r>
        <w:rPr>
          <w:rFonts w:hint="eastAsia" w:ascii="仿宋_GB2312" w:hAnsi="华文细黑" w:eastAsia="仿宋_GB2312"/>
          <w:sz w:val="24"/>
          <w:szCs w:val="24"/>
        </w:rPr>
        <w:t>，是指企业为了在应对各类事故、自然灾害时，采取紧急措施，避免或最大程度减少污染物或其他有毒有害物质进入厂界外大气、水体、土壤等环境介质，而预先制定的工作方案。</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（9）分类</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指根据突发环境事件的发生过程、性质和机理，对不同环境事件划分的类别。</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（10）分级</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分级指按照突发环境事件严重性、紧急程度及危害程度，对不同环境事件划分的级别。</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（11）应急演练</w:t>
      </w:r>
    </w:p>
    <w:p>
      <w:pPr>
        <w:snapToGrid w:val="0"/>
        <w:spacing w:line="360" w:lineRule="auto"/>
        <w:ind w:firstLine="480"/>
        <w:rPr>
          <w:rFonts w:ascii="仿宋_GB2312" w:hAnsi="华文细黑" w:eastAsia="仿宋_GB2312"/>
          <w:sz w:val="28"/>
          <w:szCs w:val="28"/>
        </w:rPr>
      </w:pPr>
      <w:r>
        <w:rPr>
          <w:rFonts w:hint="eastAsia" w:ascii="仿宋_GB2312" w:hAnsi="华文细黑" w:eastAsia="仿宋_GB2312"/>
          <w:sz w:val="24"/>
          <w:szCs w:val="24"/>
        </w:rPr>
        <w:t>为检验应急预案的有效性、应急准备的完善性、应急响应能力的适应性和应急人员的协同性而进行的一种模拟应急响应的实践活动。根据所涉及的内容和范围的不同，可分为单项演练、综合演练和指挥中心、现场应急组织联合进行的联合演练。</w:t>
      </w:r>
      <w:bookmarkStart w:id="212" w:name="_Toc268332430"/>
      <w:bookmarkStart w:id="213" w:name="_Toc319740042"/>
    </w:p>
    <w:p>
      <w:pPr>
        <w:snapToGrid w:val="0"/>
        <w:spacing w:line="360" w:lineRule="auto"/>
        <w:ind w:firstLine="560" w:firstLineChars="200"/>
        <w:outlineLvl w:val="1"/>
        <w:rPr>
          <w:rFonts w:ascii="仿宋_GB2312" w:hAnsi="华文细黑" w:eastAsia="仿宋_GB2312"/>
          <w:sz w:val="28"/>
          <w:szCs w:val="28"/>
        </w:rPr>
      </w:pPr>
      <w:bookmarkStart w:id="214" w:name="_Toc21696"/>
      <w:r>
        <w:rPr>
          <w:rFonts w:hint="eastAsia" w:ascii="仿宋_GB2312" w:hAnsi="华文细黑" w:eastAsia="仿宋_GB2312"/>
          <w:sz w:val="28"/>
          <w:szCs w:val="28"/>
        </w:rPr>
        <w:t>10.2制定与修订</w:t>
      </w:r>
      <w:bookmarkEnd w:id="214"/>
    </w:p>
    <w:p>
      <w:pPr>
        <w:snapToGrid w:val="0"/>
        <w:spacing w:line="360" w:lineRule="auto"/>
        <w:ind w:firstLine="560" w:firstLineChars="200"/>
        <w:outlineLvl w:val="2"/>
        <w:rPr>
          <w:rFonts w:ascii="仿宋_GB2312" w:hAnsi="华文细黑" w:eastAsia="仿宋_GB2312"/>
          <w:sz w:val="28"/>
          <w:szCs w:val="28"/>
        </w:rPr>
      </w:pPr>
      <w:bookmarkStart w:id="215" w:name="_Toc14936"/>
      <w:r>
        <w:rPr>
          <w:rFonts w:hint="eastAsia" w:ascii="仿宋_GB2312" w:hAnsi="华文细黑" w:eastAsia="仿宋_GB2312"/>
          <w:sz w:val="28"/>
          <w:szCs w:val="28"/>
        </w:rPr>
        <w:t>10.2.1预案的制定</w:t>
      </w:r>
      <w:bookmarkEnd w:id="215"/>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公司应急预案经评审后，由董事长签署发放。环保科负责预案的管理发放，发放应建立发放记录，并及时对已发放的预案进行更新，确保各部门获得最新版本的应急预案。</w:t>
      </w:r>
    </w:p>
    <w:p>
      <w:pPr>
        <w:snapToGrid w:val="0"/>
        <w:spacing w:line="360" w:lineRule="auto"/>
        <w:ind w:firstLine="480"/>
        <w:rPr>
          <w:rFonts w:ascii="仿宋_GB2312" w:hAnsi="华文细黑" w:eastAsia="仿宋_GB2312"/>
          <w:sz w:val="28"/>
          <w:szCs w:val="28"/>
        </w:rPr>
      </w:pPr>
      <w:r>
        <w:rPr>
          <w:rFonts w:hint="eastAsia" w:ascii="仿宋_GB2312" w:hAnsi="华文细黑" w:eastAsia="仿宋_GB2312"/>
          <w:sz w:val="24"/>
          <w:szCs w:val="24"/>
        </w:rPr>
        <w:t>本预案最终解释权归公司突发环境事件应急办公室。</w:t>
      </w:r>
    </w:p>
    <w:p>
      <w:pPr>
        <w:snapToGrid w:val="0"/>
        <w:spacing w:line="360" w:lineRule="auto"/>
        <w:ind w:firstLine="560" w:firstLineChars="200"/>
        <w:outlineLvl w:val="2"/>
        <w:rPr>
          <w:rFonts w:ascii="仿宋_GB2312" w:hAnsi="华文细黑" w:eastAsia="仿宋_GB2312"/>
          <w:sz w:val="28"/>
          <w:szCs w:val="28"/>
        </w:rPr>
      </w:pPr>
      <w:bookmarkStart w:id="216" w:name="_Toc21705"/>
      <w:r>
        <w:rPr>
          <w:rFonts w:hint="eastAsia" w:ascii="仿宋_GB2312" w:hAnsi="华文细黑" w:eastAsia="仿宋_GB2312"/>
          <w:sz w:val="28"/>
          <w:szCs w:val="28"/>
        </w:rPr>
        <w:t>10.2.2预案的修订</w:t>
      </w:r>
      <w:bookmarkEnd w:id="216"/>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突发环境事件应急预案应每三年进行一次回顾性评估。有下列情形之一的，及时修订：</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（一）面临的环境风险发生重大变化，需要重新进行环境风险评估的；</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（二）应急管理组织指挥体系与职责发生重大变化的；</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（三）环境应急监测预警及报告机制、应对流程和措施、应急保障措施发生重大变化的；</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（四）重要应急资源发生重大变化的；</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（五）在突发事件实际应对和应急演练中发现问题，需要对环境应急预案作出重大调整的；</w:t>
      </w:r>
    </w:p>
    <w:p>
      <w:pPr>
        <w:snapToGrid w:val="0"/>
        <w:spacing w:line="360" w:lineRule="auto"/>
        <w:ind w:firstLine="480"/>
        <w:rPr>
          <w:rFonts w:ascii="仿宋_GB2312" w:hAnsi="华文细黑" w:eastAsia="仿宋_GB2312"/>
          <w:sz w:val="24"/>
          <w:szCs w:val="24"/>
        </w:rPr>
      </w:pPr>
      <w:r>
        <w:rPr>
          <w:rFonts w:hint="eastAsia" w:ascii="仿宋_GB2312" w:hAnsi="华文细黑" w:eastAsia="仿宋_GB2312"/>
          <w:sz w:val="24"/>
          <w:szCs w:val="24"/>
        </w:rPr>
        <w:t>（六）法律法规与规章制度发生变化的；</w:t>
      </w:r>
    </w:p>
    <w:p>
      <w:pPr>
        <w:snapToGrid w:val="0"/>
        <w:spacing w:line="360" w:lineRule="auto"/>
        <w:ind w:firstLine="480"/>
        <w:rPr>
          <w:rFonts w:ascii="仿宋_GB2312" w:hAnsi="华文细黑" w:eastAsia="仿宋_GB2312"/>
          <w:sz w:val="28"/>
          <w:szCs w:val="28"/>
        </w:rPr>
      </w:pPr>
      <w:r>
        <w:rPr>
          <w:rFonts w:hint="eastAsia" w:ascii="仿宋_GB2312" w:hAnsi="华文细黑" w:eastAsia="仿宋_GB2312"/>
          <w:sz w:val="24"/>
          <w:szCs w:val="24"/>
        </w:rPr>
        <w:t>（七）其他需要修订的情况。</w:t>
      </w:r>
    </w:p>
    <w:p>
      <w:pPr>
        <w:snapToGrid w:val="0"/>
        <w:spacing w:line="360" w:lineRule="auto"/>
        <w:ind w:firstLine="560" w:firstLineChars="200"/>
        <w:outlineLvl w:val="1"/>
        <w:rPr>
          <w:rFonts w:ascii="仿宋_GB2312" w:hAnsi="华文细黑" w:eastAsia="仿宋_GB2312"/>
          <w:sz w:val="28"/>
          <w:szCs w:val="28"/>
        </w:rPr>
      </w:pPr>
      <w:bookmarkStart w:id="217" w:name="_Toc5045"/>
      <w:r>
        <w:rPr>
          <w:rFonts w:hint="eastAsia" w:ascii="仿宋_GB2312" w:hAnsi="华文细黑" w:eastAsia="仿宋_GB2312"/>
          <w:sz w:val="28"/>
          <w:szCs w:val="28"/>
        </w:rPr>
        <w:t>10.3预案的实施和生效时间</w:t>
      </w:r>
      <w:bookmarkEnd w:id="217"/>
    </w:p>
    <w:p>
      <w:pPr>
        <w:snapToGrid w:val="0"/>
        <w:spacing w:line="360" w:lineRule="auto"/>
        <w:ind w:firstLine="480"/>
        <w:rPr>
          <w:rFonts w:ascii="仿宋_GB2312" w:hAnsi="华文细黑" w:eastAsia="仿宋_GB2312"/>
          <w:sz w:val="28"/>
          <w:szCs w:val="28"/>
        </w:rPr>
      </w:pPr>
      <w:r>
        <w:rPr>
          <w:rFonts w:hint="eastAsia" w:ascii="仿宋_GB2312" w:hAnsi="华文细黑" w:eastAsia="仿宋_GB2312"/>
          <w:sz w:val="24"/>
          <w:szCs w:val="24"/>
        </w:rPr>
        <w:t>本预案自发布之日起实施。</w:t>
      </w:r>
    </w:p>
    <w:bookmarkEnd w:id="212"/>
    <w:bookmarkEnd w:id="213"/>
    <w:p>
      <w:pPr>
        <w:snapToGrid w:val="0"/>
        <w:spacing w:line="360" w:lineRule="auto"/>
        <w:jc w:val="center"/>
        <w:outlineLvl w:val="0"/>
        <w:rPr>
          <w:rFonts w:ascii="仿宋_GB2312" w:eastAsia="仿宋_GB2312"/>
          <w:sz w:val="28"/>
          <w:szCs w:val="28"/>
        </w:rPr>
      </w:pPr>
      <w:bookmarkStart w:id="218" w:name="_Toc7272"/>
      <w:bookmarkStart w:id="219" w:name="_Toc410289827"/>
      <w:r>
        <w:rPr>
          <w:rFonts w:hint="eastAsia" w:ascii="仿宋_GB2312" w:hAnsi="华文细黑" w:eastAsia="仿宋_GB2312"/>
          <w:b/>
          <w:sz w:val="32"/>
          <w:szCs w:val="32"/>
        </w:rPr>
        <w:t>11附件</w:t>
      </w:r>
      <w:bookmarkEnd w:id="218"/>
      <w:bookmarkEnd w:id="219"/>
    </w:p>
    <w:p>
      <w:pPr>
        <w:snapToGrid w:val="0"/>
        <w:rPr>
          <w:rFonts w:ascii="仿宋_GB2312" w:hAnsi="华文细黑" w:eastAsia="仿宋_GB2312"/>
          <w:sz w:val="24"/>
          <w:szCs w:val="24"/>
        </w:rPr>
        <w:sectPr>
          <w:headerReference r:id="rId3" w:type="default"/>
          <w:footerReference r:id="rId4" w:type="default"/>
          <w:pgSz w:w="11906" w:h="16838"/>
          <w:pgMar w:top="1361" w:right="1588" w:bottom="1361" w:left="1588" w:header="851" w:footer="992" w:gutter="0"/>
          <w:cols w:space="720" w:num="1"/>
          <w:docGrid w:type="lines" w:linePitch="312" w:charSpace="0"/>
        </w:sectPr>
      </w:pPr>
      <w:bookmarkStart w:id="220" w:name="_Toc404851284"/>
      <w:bookmarkStart w:id="221" w:name="_Toc410289828"/>
    </w:p>
    <w:p>
      <w:pPr>
        <w:snapToGrid w:val="0"/>
        <w:rPr>
          <w:rFonts w:ascii="仿宋_GB2312" w:hAnsi="华文细黑" w:eastAsia="仿宋_GB2312"/>
          <w:sz w:val="24"/>
          <w:szCs w:val="24"/>
        </w:rPr>
      </w:pPr>
      <w:r>
        <w:rPr>
          <w:rFonts w:hint="eastAsia" w:ascii="仿宋_GB2312" w:hAnsi="华文细黑" w:eastAsia="仿宋_GB2312"/>
          <w:sz w:val="24"/>
          <w:szCs w:val="24"/>
        </w:rPr>
        <w:t>附图1：地理位置图</w:t>
      </w:r>
    </w:p>
    <w:p>
      <w:pPr>
        <w:snapToGrid w:val="0"/>
        <w:jc w:val="center"/>
        <w:rPr>
          <w:b/>
          <w:bCs/>
          <w:sz w:val="30"/>
        </w:rPr>
      </w:pPr>
      <w:r>
        <w:rPr>
          <w:b/>
          <w:bCs/>
          <w:sz w:val="30"/>
        </w:rPr>
        <w:pict>
          <v:shape id="AutoShape 35532" o:spid="_x0000_s2055" o:spt="62" type="#_x0000_t62" style="position:absolute;left:0pt;flip:y;margin-left:353.1pt;margin-top:102.35pt;height:23.4pt;width:72.4pt;z-index:251649024;mso-width-relative:page;mso-height-relative:page;" filled="f" stroked="t" coordsize="21600,21600" adj="-7338,49062">
            <v:path/>
            <v:fill on="f" focussize="0,0"/>
            <v:stroke weight="1.25pt" color="#1F497D" joinstyle="miter"/>
            <v:imagedata o:title=""/>
            <o:lock v:ext="edit"/>
            <v:textbox inset="0mm,0mm,0mm,0mm">
              <w:txbxContent>
                <w:p>
                  <w:pPr>
                    <w:spacing w:beforeLines="25" w:line="240" w:lineRule="atLeast"/>
                    <w:jc w:val="center"/>
                    <w:rPr>
                      <w:b/>
                      <w:bCs/>
                      <w:color w:val="FF0000"/>
                    </w:rPr>
                  </w:pPr>
                  <w:r>
                    <w:rPr>
                      <w:rFonts w:hint="eastAsia"/>
                      <w:b/>
                      <w:bCs/>
                      <w:color w:val="FF0000"/>
                    </w:rPr>
                    <w:t>公司位置</w:t>
                  </w:r>
                </w:p>
              </w:txbxContent>
            </v:textbox>
          </v:shape>
        </w:pict>
      </w:r>
      <w:r>
        <w:rPr>
          <w:b/>
          <w:bCs/>
          <w:sz w:val="30"/>
        </w:rPr>
        <w:pict>
          <v:shape id="AutoShape 7" o:spid="_x0000_s2053" o:spt="5" type="#_x0000_t5" style="position:absolute;left:0pt;margin-left:320.8pt;margin-top:65.05pt;height:7.8pt;width:9pt;z-index:251650048;mso-width-relative:page;mso-height-relative:page;" fillcolor="#FF0000" filled="t" coordsize="21600,21600">
            <v:path/>
            <v:fill on="t" focussize="0,0"/>
            <v:stroke joinstyle="miter"/>
            <v:imagedata o:title=""/>
            <o:lock v:ext="edit"/>
          </v:shape>
        </w:pict>
      </w:r>
      <w:r>
        <w:rPr>
          <w:rFonts w:hint="eastAsia"/>
          <w:b/>
          <w:bCs/>
          <w:sz w:val="30"/>
        </w:rPr>
        <w:drawing>
          <wp:inline distT="0" distB="0" distL="114300" distR="114300">
            <wp:extent cx="8261350" cy="5085715"/>
            <wp:effectExtent l="0" t="0" r="6350" b="635"/>
            <wp:docPr id="22" name="图片 17" descr="烟台市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7" descr="烟台市地理位置图"/>
                    <pic:cNvPicPr>
                      <a:picLocks noChangeAspect="1"/>
                    </pic:cNvPicPr>
                  </pic:nvPicPr>
                  <pic:blipFill>
                    <a:blip r:embed="rId21"/>
                    <a:srcRect l="1123" t="3698" r="1460" b="2289"/>
                    <a:stretch>
                      <a:fillRect/>
                    </a:stretch>
                  </pic:blipFill>
                  <pic:spPr>
                    <a:xfrm>
                      <a:off x="0" y="0"/>
                      <a:ext cx="8261350" cy="5085715"/>
                    </a:xfrm>
                    <a:prstGeom prst="rect">
                      <a:avLst/>
                    </a:prstGeom>
                    <a:noFill/>
                    <a:ln w="9525">
                      <a:noFill/>
                    </a:ln>
                  </pic:spPr>
                </pic:pic>
              </a:graphicData>
            </a:graphic>
          </wp:inline>
        </w:drawing>
      </w:r>
    </w:p>
    <w:p>
      <w:pPr>
        <w:snapToGrid w:val="0"/>
        <w:jc w:val="center"/>
        <w:rPr>
          <w:b/>
          <w:bCs/>
          <w:sz w:val="30"/>
        </w:rPr>
        <w:sectPr>
          <w:headerReference r:id="rId5" w:type="default"/>
          <w:pgSz w:w="16838" w:h="11906" w:orient="landscape"/>
          <w:pgMar w:top="1587" w:right="1361" w:bottom="1587" w:left="1361" w:header="851" w:footer="992" w:gutter="0"/>
          <w:cols w:space="0" w:num="1"/>
          <w:docGrid w:type="lines" w:linePitch="323" w:charSpace="0"/>
        </w:sectPr>
      </w:pPr>
    </w:p>
    <w:p>
      <w:pPr>
        <w:snapToGrid w:val="0"/>
        <w:rPr>
          <w:rFonts w:ascii="仿宋_GB2312" w:hAnsi="华文细黑" w:eastAsia="仿宋_GB2312"/>
          <w:sz w:val="24"/>
          <w:szCs w:val="24"/>
        </w:rPr>
      </w:pPr>
      <w:r>
        <w:rPr>
          <w:rFonts w:hint="eastAsia"/>
        </w:rPr>
        <w:drawing>
          <wp:anchor distT="0" distB="0" distL="114300" distR="114300" simplePos="0" relativeHeight="251624448" behindDoc="0" locked="0" layoutInCell="1" allowOverlap="1">
            <wp:simplePos x="0" y="0"/>
            <wp:positionH relativeFrom="column">
              <wp:posOffset>193040</wp:posOffset>
            </wp:positionH>
            <wp:positionV relativeFrom="paragraph">
              <wp:posOffset>30480</wp:posOffset>
            </wp:positionV>
            <wp:extent cx="8667750" cy="5172075"/>
            <wp:effectExtent l="25400" t="25400" r="31750" b="41275"/>
            <wp:wrapNone/>
            <wp:docPr id="24" name="Picture 50" descr="SKMBT_C2520312272037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0" descr="SKMBT_C25203122720370_0002"/>
                    <pic:cNvPicPr>
                      <a:picLocks noChangeAspect="1"/>
                    </pic:cNvPicPr>
                  </pic:nvPicPr>
                  <pic:blipFill>
                    <a:blip r:embed="rId22"/>
                    <a:stretch>
                      <a:fillRect/>
                    </a:stretch>
                  </pic:blipFill>
                  <pic:spPr>
                    <a:xfrm>
                      <a:off x="0" y="0"/>
                      <a:ext cx="8667750" cy="5172075"/>
                    </a:xfrm>
                    <a:prstGeom prst="rect">
                      <a:avLst/>
                    </a:prstGeom>
                    <a:noFill/>
                    <a:ln w="25400" cap="flat" cmpd="sng">
                      <a:solidFill>
                        <a:srgbClr val="000000"/>
                      </a:solidFill>
                      <a:prstDash val="solid"/>
                      <a:miter/>
                      <a:headEnd type="none" w="med" len="med"/>
                      <a:tailEnd type="none" w="med" len="med"/>
                    </a:ln>
                  </pic:spPr>
                </pic:pic>
              </a:graphicData>
            </a:graphic>
          </wp:anchor>
        </w:drawing>
      </w:r>
    </w:p>
    <w:p>
      <w:pPr>
        <w:snapToGrid w:val="0"/>
        <w:rPr>
          <w:rFonts w:ascii="仿宋_GB2312" w:hAnsi="华文细黑" w:eastAsia="仿宋_GB2312"/>
          <w:sz w:val="24"/>
          <w:szCs w:val="24"/>
        </w:rPr>
      </w:pPr>
    </w:p>
    <w:p>
      <w:pPr>
        <w:jc w:val="left"/>
        <w:rPr>
          <w:rFonts w:ascii="仿宋_GB2312" w:hAnsi="华文细黑" w:eastAsia="仿宋_GB2312"/>
          <w:sz w:val="24"/>
          <w:szCs w:val="24"/>
        </w:rPr>
        <w:sectPr>
          <w:pgSz w:w="16838" w:h="11906" w:orient="landscape"/>
          <w:pgMar w:top="1587" w:right="1361" w:bottom="1587" w:left="1361" w:header="851" w:footer="992" w:gutter="0"/>
          <w:cols w:space="0" w:num="1"/>
          <w:docGrid w:type="lines" w:linePitch="323" w:charSpace="0"/>
        </w:sectPr>
      </w:pPr>
      <w:r>
        <w:pict>
          <v:shape id="AutoShape 8" o:spid="_x0000_s2061" o:spt="61" type="#_x0000_t61" style="position:absolute;left:0pt;flip:y;margin-left:20.8pt;margin-top:138.1pt;height:15.75pt;width:45pt;z-index:251652096;mso-width-relative:page;mso-height-relative:page;" filled="f" stroked="t" coordsize="21600,21600" adj="40944,-27908">
            <v:path/>
            <v:fill on="f" focussize="0,0"/>
            <v:stroke color="#FF0000" joinstyle="miter"/>
            <v:imagedata o:title=""/>
            <o:lock v:ext="edit"/>
            <v:textbox inset="0mm,0mm,0mm,0mm">
              <w:txbxContent>
                <w:p>
                  <w:pPr>
                    <w:jc w:val="center"/>
                    <w:rPr>
                      <w:color w:val="FF0000"/>
                    </w:rPr>
                  </w:pPr>
                  <w:r>
                    <w:rPr>
                      <w:rFonts w:hint="eastAsia"/>
                      <w:color w:val="FF0000"/>
                    </w:rPr>
                    <w:t>项目厂址</w:t>
                  </w:r>
                </w:p>
              </w:txbxContent>
            </v:textbox>
          </v:shape>
        </w:pict>
      </w:r>
      <w:r>
        <w:pict>
          <v:shape id="_x0000_s2060" o:spid="_x0000_s2060" o:spt="5" type="#_x0000_t5" style="position:absolute;left:0pt;margin-left:103.3pt;margin-top:170.8pt;height:7.8pt;width:9pt;z-index:251653120;mso-width-relative:page;mso-height-relative:page;" fillcolor="#FF0000" filled="t" coordsize="21600,21600">
            <v:path/>
            <v:fill on="t" focussize="0,0"/>
            <v:stroke joinstyle="miter"/>
            <v:imagedata o:title=""/>
            <o:lock v:ext="edit"/>
          </v:shape>
        </w:pict>
      </w:r>
      <w:r>
        <w:rPr>
          <w:rFonts w:hint="eastAsia" w:ascii="仿宋_GB2312" w:hAnsi="华文细黑" w:eastAsia="仿宋_GB2312"/>
          <w:sz w:val="24"/>
          <w:szCs w:val="24"/>
        </w:rPr>
        <w:br w:type="page"/>
      </w:r>
    </w:p>
    <w:p>
      <w:pPr>
        <w:jc w:val="left"/>
        <w:rPr>
          <w:rFonts w:ascii="仿宋_GB2312" w:hAnsi="华文细黑" w:eastAsia="仿宋_GB2312"/>
          <w:sz w:val="24"/>
          <w:szCs w:val="24"/>
        </w:rPr>
      </w:pPr>
      <w:r>
        <w:rPr>
          <w:rFonts w:hint="eastAsia" w:ascii="仿宋_GB2312" w:eastAsia="仿宋_GB2312"/>
          <w:sz w:val="24"/>
          <w:szCs w:val="24"/>
        </w:rPr>
        <w:t>附图2：</w:t>
      </w:r>
      <w:r>
        <w:rPr>
          <w:rFonts w:hint="eastAsia" w:ascii="仿宋_GB2312" w:hAnsi="华文细黑" w:eastAsia="仿宋_GB2312"/>
          <w:sz w:val="24"/>
          <w:szCs w:val="24"/>
        </w:rPr>
        <w:t>平面布置及风险目标分布图</w:t>
      </w:r>
    </w:p>
    <w:p>
      <w:pPr>
        <w:snapToGrid w:val="0"/>
        <w:spacing w:line="360" w:lineRule="auto"/>
        <w:jc w:val="left"/>
        <w:rPr>
          <w:rFonts w:ascii="仿宋_GB2312" w:eastAsia="仿宋_GB2312"/>
          <w:sz w:val="24"/>
          <w:szCs w:val="24"/>
        </w:rPr>
      </w:pPr>
      <w:r>
        <w:drawing>
          <wp:inline distT="0" distB="0" distL="114300" distR="114300">
            <wp:extent cx="5295900" cy="6629400"/>
            <wp:effectExtent l="0" t="0" r="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3"/>
                    <a:stretch>
                      <a:fillRect/>
                    </a:stretch>
                  </pic:blipFill>
                  <pic:spPr>
                    <a:xfrm>
                      <a:off x="0" y="0"/>
                      <a:ext cx="5295900" cy="6629400"/>
                    </a:xfrm>
                    <a:prstGeom prst="rect">
                      <a:avLst/>
                    </a:prstGeom>
                    <a:noFill/>
                    <a:ln w="9525">
                      <a:noFill/>
                    </a:ln>
                  </pic:spPr>
                </pic:pic>
              </a:graphicData>
            </a:graphic>
          </wp:inline>
        </w:drawing>
      </w:r>
    </w:p>
    <w:p>
      <w:pPr>
        <w:snapToGrid w:val="0"/>
        <w:spacing w:line="360" w:lineRule="auto"/>
        <w:jc w:val="left"/>
        <w:rPr>
          <w:rFonts w:ascii="仿宋_GB2312" w:eastAsia="仿宋_GB2312"/>
          <w:sz w:val="24"/>
          <w:szCs w:val="24"/>
        </w:rPr>
      </w:pPr>
      <w:r>
        <w:rPr>
          <w:rFonts w:hint="eastAsia" w:ascii="仿宋_GB2312" w:eastAsia="仿宋_GB2312"/>
          <w:sz w:val="24"/>
          <w:szCs w:val="24"/>
        </w:rPr>
        <w:t>环境风险目标主要为：甲类原料仓库（含危废仓库）、丙类原料仓库、甲类罐区、中间罐区、污水处理站、生产装置</w:t>
      </w:r>
    </w:p>
    <w:p>
      <w:pPr>
        <w:snapToGrid w:val="0"/>
        <w:spacing w:line="360" w:lineRule="auto"/>
        <w:jc w:val="left"/>
        <w:rPr>
          <w:rFonts w:ascii="仿宋_GB2312" w:eastAsia="仿宋_GB2312"/>
          <w:sz w:val="24"/>
          <w:szCs w:val="24"/>
        </w:rPr>
      </w:pPr>
    </w:p>
    <w:p>
      <w:pPr>
        <w:snapToGrid w:val="0"/>
        <w:spacing w:line="360" w:lineRule="auto"/>
        <w:jc w:val="left"/>
        <w:rPr>
          <w:rFonts w:ascii="仿宋_GB2312" w:eastAsia="仿宋_GB2312"/>
          <w:sz w:val="24"/>
          <w:szCs w:val="24"/>
        </w:rPr>
      </w:pPr>
      <w:r>
        <w:rPr>
          <w:rFonts w:hint="eastAsia" w:ascii="仿宋_GB2312" w:eastAsia="仿宋_GB2312"/>
          <w:sz w:val="24"/>
          <w:szCs w:val="24"/>
        </w:rPr>
        <w:br w:type="page"/>
      </w:r>
    </w:p>
    <w:p>
      <w:pPr>
        <w:snapToGrid w:val="0"/>
        <w:spacing w:line="360" w:lineRule="auto"/>
        <w:jc w:val="left"/>
        <w:rPr>
          <w:rFonts w:ascii="仿宋_GB2312" w:hAnsi="华文细黑" w:eastAsia="仿宋_GB2312"/>
          <w:sz w:val="24"/>
          <w:szCs w:val="24"/>
        </w:rPr>
      </w:pPr>
      <w:r>
        <w:rPr>
          <w:rFonts w:hint="eastAsia" w:ascii="仿宋_GB2312" w:eastAsia="仿宋_GB2312"/>
          <w:sz w:val="24"/>
          <w:szCs w:val="24"/>
        </w:rPr>
        <w:t>附图3：</w:t>
      </w:r>
      <w:r>
        <w:rPr>
          <w:rFonts w:hint="eastAsia" w:ascii="仿宋_GB2312" w:hAnsi="华文细黑" w:eastAsia="仿宋_GB2312"/>
          <w:sz w:val="24"/>
          <w:szCs w:val="24"/>
        </w:rPr>
        <w:t>危险废物委托处理合同</w:t>
      </w:r>
    </w:p>
    <w:p>
      <w:pPr>
        <w:snapToGrid w:val="0"/>
        <w:spacing w:line="360" w:lineRule="auto"/>
        <w:jc w:val="center"/>
        <w:rPr>
          <w:rFonts w:ascii="仿宋_GB2312" w:hAnsi="华文细黑" w:eastAsia="仿宋_GB2312"/>
          <w:sz w:val="24"/>
          <w:szCs w:val="24"/>
        </w:rPr>
      </w:pPr>
      <w:r>
        <w:rPr>
          <w:rFonts w:ascii="仿宋_GB2312" w:hAnsi="华文细黑" w:eastAsia="仿宋_GB2312"/>
          <w:sz w:val="24"/>
          <w:szCs w:val="24"/>
        </w:rPr>
        <w:drawing>
          <wp:inline distT="0" distB="0" distL="0" distR="0">
            <wp:extent cx="5438775" cy="7690485"/>
            <wp:effectExtent l="19050" t="0" r="9525" b="0"/>
            <wp:docPr id="4" name="图片 4" descr="C:\Users\lenovo\Desktop\prox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lenovo\Desktop\proxy1.jpg"/>
                    <pic:cNvPicPr>
                      <a:picLocks noChangeAspect="1" noChangeArrowheads="1"/>
                    </pic:cNvPicPr>
                  </pic:nvPicPr>
                  <pic:blipFill>
                    <a:blip r:embed="rId24"/>
                    <a:srcRect/>
                    <a:stretch>
                      <a:fillRect/>
                    </a:stretch>
                  </pic:blipFill>
                  <pic:spPr>
                    <a:xfrm>
                      <a:off x="0" y="0"/>
                      <a:ext cx="5438775" cy="7690768"/>
                    </a:xfrm>
                    <a:prstGeom prst="rect">
                      <a:avLst/>
                    </a:prstGeom>
                    <a:noFill/>
                    <a:ln w="9525">
                      <a:noFill/>
                      <a:miter lim="800000"/>
                      <a:headEnd/>
                      <a:tailEnd/>
                    </a:ln>
                  </pic:spPr>
                </pic:pic>
              </a:graphicData>
            </a:graphic>
          </wp:inline>
        </w:drawing>
      </w:r>
    </w:p>
    <w:p>
      <w:pPr>
        <w:snapToGrid w:val="0"/>
        <w:spacing w:line="360" w:lineRule="auto"/>
        <w:jc w:val="left"/>
        <w:rPr>
          <w:rFonts w:ascii="Times New Roman" w:hAnsi="Times New Roman" w:cs="Times New Roman"/>
          <w:kern w:val="2"/>
          <w:sz w:val="32"/>
          <w:szCs w:val="32"/>
        </w:rPr>
      </w:pP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br w:type="page"/>
      </w:r>
    </w:p>
    <w:p>
      <w:pPr>
        <w:snapToGrid w:val="0"/>
        <w:spacing w:line="360" w:lineRule="auto"/>
        <w:jc w:val="left"/>
        <w:rPr>
          <w:rFonts w:ascii="Times New Roman" w:hAnsi="Times New Roman" w:cs="Times New Roman"/>
          <w:kern w:val="2"/>
          <w:sz w:val="32"/>
          <w:szCs w:val="32"/>
        </w:rPr>
      </w:pP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drawing>
          <wp:inline distT="0" distB="0" distL="0" distR="0">
            <wp:extent cx="5448935" cy="7705725"/>
            <wp:effectExtent l="19050" t="0" r="0" b="0"/>
            <wp:docPr id="5" name="图片 5" descr="C:\Users\lenovo\Desktop\prox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lenovo\Desktop\proxy2.jpg"/>
                    <pic:cNvPicPr>
                      <a:picLocks noChangeAspect="1" noChangeArrowheads="1"/>
                    </pic:cNvPicPr>
                  </pic:nvPicPr>
                  <pic:blipFill>
                    <a:blip r:embed="rId25"/>
                    <a:srcRect/>
                    <a:stretch>
                      <a:fillRect/>
                    </a:stretch>
                  </pic:blipFill>
                  <pic:spPr>
                    <a:xfrm>
                      <a:off x="0" y="0"/>
                      <a:ext cx="5449352" cy="7705725"/>
                    </a:xfrm>
                    <a:prstGeom prst="rect">
                      <a:avLst/>
                    </a:prstGeom>
                    <a:noFill/>
                    <a:ln w="9525">
                      <a:noFill/>
                      <a:miter lim="800000"/>
                      <a:headEnd/>
                      <a:tailEnd/>
                    </a:ln>
                  </pic:spPr>
                </pic:pic>
              </a:graphicData>
            </a:graphic>
          </wp:inline>
        </w:drawing>
      </w: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br w:type="page"/>
      </w:r>
    </w:p>
    <w:p>
      <w:pPr>
        <w:snapToGrid w:val="0"/>
        <w:spacing w:line="360" w:lineRule="auto"/>
        <w:jc w:val="left"/>
        <w:rPr>
          <w:rFonts w:ascii="Times New Roman" w:hAnsi="Times New Roman" w:cs="Times New Roman"/>
          <w:kern w:val="2"/>
          <w:sz w:val="32"/>
          <w:szCs w:val="32"/>
        </w:rPr>
      </w:pP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drawing>
          <wp:inline distT="0" distB="0" distL="0" distR="0">
            <wp:extent cx="5374640" cy="7600950"/>
            <wp:effectExtent l="19050" t="0" r="0" b="0"/>
            <wp:docPr id="6" name="图片 6" descr="C:\Users\lenovo\Desktop\proxy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lenovo\Desktop\proxy3.jpg"/>
                    <pic:cNvPicPr>
                      <a:picLocks noChangeAspect="1" noChangeArrowheads="1"/>
                    </pic:cNvPicPr>
                  </pic:nvPicPr>
                  <pic:blipFill>
                    <a:blip r:embed="rId26"/>
                    <a:srcRect/>
                    <a:stretch>
                      <a:fillRect/>
                    </a:stretch>
                  </pic:blipFill>
                  <pic:spPr>
                    <a:xfrm>
                      <a:off x="0" y="0"/>
                      <a:ext cx="5375483" cy="7601270"/>
                    </a:xfrm>
                    <a:prstGeom prst="rect">
                      <a:avLst/>
                    </a:prstGeom>
                    <a:noFill/>
                    <a:ln w="9525">
                      <a:noFill/>
                      <a:miter lim="800000"/>
                      <a:headEnd/>
                      <a:tailEnd/>
                    </a:ln>
                  </pic:spPr>
                </pic:pic>
              </a:graphicData>
            </a:graphic>
          </wp:inline>
        </w:drawing>
      </w:r>
    </w:p>
    <w:p>
      <w:pPr>
        <w:widowControl/>
        <w:jc w:val="left"/>
        <w:rPr>
          <w:rFonts w:ascii="Times New Roman" w:hAnsi="Times New Roman" w:cs="Times New Roman"/>
          <w:kern w:val="2"/>
          <w:sz w:val="32"/>
          <w:szCs w:val="32"/>
        </w:rPr>
      </w:pPr>
      <w:r>
        <w:rPr>
          <w:rFonts w:ascii="Times New Roman" w:hAnsi="Times New Roman" w:cs="Times New Roman"/>
          <w:kern w:val="2"/>
          <w:sz w:val="32"/>
          <w:szCs w:val="32"/>
        </w:rPr>
        <w:br w:type="page"/>
      </w:r>
    </w:p>
    <w:p>
      <w:pPr>
        <w:snapToGrid w:val="0"/>
        <w:spacing w:line="360" w:lineRule="auto"/>
        <w:jc w:val="left"/>
        <w:rPr>
          <w:rFonts w:ascii="Times New Roman" w:hAnsi="Times New Roman" w:cs="Times New Roman"/>
          <w:kern w:val="2"/>
          <w:sz w:val="32"/>
          <w:szCs w:val="32"/>
        </w:rPr>
      </w:pP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drawing>
          <wp:inline distT="0" distB="0" distL="0" distR="0">
            <wp:extent cx="5556885" cy="7858125"/>
            <wp:effectExtent l="19050" t="0" r="5473" b="0"/>
            <wp:docPr id="1" name="图片 7" descr="C:\Users\lenovo\Desktop\proxy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C:\Users\lenovo\Desktop\proxy4.jpg"/>
                    <pic:cNvPicPr>
                      <a:picLocks noChangeAspect="1" noChangeArrowheads="1"/>
                    </pic:cNvPicPr>
                  </pic:nvPicPr>
                  <pic:blipFill>
                    <a:blip r:embed="rId27"/>
                    <a:srcRect/>
                    <a:stretch>
                      <a:fillRect/>
                    </a:stretch>
                  </pic:blipFill>
                  <pic:spPr>
                    <a:xfrm>
                      <a:off x="0" y="0"/>
                      <a:ext cx="5557127" cy="7858125"/>
                    </a:xfrm>
                    <a:prstGeom prst="rect">
                      <a:avLst/>
                    </a:prstGeom>
                    <a:noFill/>
                    <a:ln w="9525">
                      <a:noFill/>
                      <a:miter lim="800000"/>
                      <a:headEnd/>
                      <a:tailEnd/>
                    </a:ln>
                  </pic:spPr>
                </pic:pic>
              </a:graphicData>
            </a:graphic>
          </wp:inline>
        </w:drawing>
      </w:r>
    </w:p>
    <w:p>
      <w:pPr>
        <w:widowControl/>
        <w:jc w:val="left"/>
        <w:rPr>
          <w:rFonts w:ascii="Times New Roman" w:hAnsi="Times New Roman" w:cs="Times New Roman"/>
          <w:kern w:val="2"/>
          <w:sz w:val="32"/>
          <w:szCs w:val="32"/>
        </w:rPr>
      </w:pPr>
      <w:r>
        <w:rPr>
          <w:rFonts w:ascii="Times New Roman" w:hAnsi="Times New Roman" w:cs="Times New Roman"/>
          <w:kern w:val="2"/>
          <w:sz w:val="32"/>
          <w:szCs w:val="32"/>
        </w:rPr>
        <w:br w:type="page"/>
      </w:r>
    </w:p>
    <w:p>
      <w:pPr>
        <w:snapToGrid w:val="0"/>
        <w:spacing w:line="360" w:lineRule="auto"/>
        <w:jc w:val="left"/>
        <w:rPr>
          <w:rFonts w:hint="eastAsia" w:ascii="Times New Roman" w:hAnsi="Times New Roman" w:cs="Times New Roman"/>
          <w:kern w:val="2"/>
          <w:sz w:val="32"/>
          <w:szCs w:val="32"/>
        </w:rPr>
      </w:pPr>
    </w:p>
    <w:p>
      <w:pPr>
        <w:snapToGrid w:val="0"/>
        <w:spacing w:line="360" w:lineRule="auto"/>
        <w:jc w:val="left"/>
        <w:rPr>
          <w:rFonts w:ascii="Times New Roman" w:hAnsi="Times New Roman" w:cs="Times New Roman"/>
          <w:kern w:val="2"/>
          <w:sz w:val="32"/>
          <w:szCs w:val="32"/>
        </w:rPr>
      </w:pPr>
      <w:r>
        <w:rPr>
          <w:rFonts w:ascii="Times New Roman" w:hAnsi="Times New Roman" w:cs="Times New Roman"/>
          <w:kern w:val="2"/>
          <w:sz w:val="32"/>
          <w:szCs w:val="32"/>
        </w:rPr>
        <w:drawing>
          <wp:inline distT="0" distB="0" distL="0" distR="0">
            <wp:extent cx="5410200" cy="7649845"/>
            <wp:effectExtent l="19050" t="0" r="0" b="0"/>
            <wp:docPr id="2" name="图片 8" descr="C:\Users\lenovo\Desktop\proxy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C:\Users\lenovo\Desktop\proxy5.jpg"/>
                    <pic:cNvPicPr>
                      <a:picLocks noChangeAspect="1" noChangeArrowheads="1"/>
                    </pic:cNvPicPr>
                  </pic:nvPicPr>
                  <pic:blipFill>
                    <a:blip r:embed="rId28"/>
                    <a:srcRect/>
                    <a:stretch>
                      <a:fillRect/>
                    </a:stretch>
                  </pic:blipFill>
                  <pic:spPr>
                    <a:xfrm>
                      <a:off x="0" y="0"/>
                      <a:ext cx="5413094" cy="7654454"/>
                    </a:xfrm>
                    <a:prstGeom prst="rect">
                      <a:avLst/>
                    </a:prstGeom>
                    <a:noFill/>
                    <a:ln w="9525">
                      <a:noFill/>
                      <a:miter lim="800000"/>
                      <a:headEnd/>
                      <a:tailEnd/>
                    </a:ln>
                  </pic:spPr>
                </pic:pic>
              </a:graphicData>
            </a:graphic>
          </wp:inline>
        </w:drawing>
      </w:r>
    </w:p>
    <w:p>
      <w:pPr>
        <w:snapToGrid w:val="0"/>
        <w:spacing w:line="360" w:lineRule="auto"/>
        <w:jc w:val="left"/>
        <w:rPr>
          <w:rFonts w:ascii="Times New Roman" w:hAnsi="Times New Roman" w:cs="Times New Roman"/>
          <w:kern w:val="2"/>
          <w:sz w:val="32"/>
          <w:szCs w:val="32"/>
        </w:rPr>
        <w:sectPr>
          <w:headerReference r:id="rId6" w:type="default"/>
          <w:pgSz w:w="11906" w:h="16838"/>
          <w:pgMar w:top="1361" w:right="1587" w:bottom="1361" w:left="1587" w:header="851" w:footer="992" w:gutter="0"/>
          <w:cols w:space="0" w:num="1"/>
          <w:docGrid w:type="lines" w:linePitch="323" w:charSpace="0"/>
        </w:sectPr>
      </w:pPr>
      <w:r>
        <w:rPr>
          <w:rFonts w:ascii="Times New Roman" w:hAnsi="Times New Roman" w:cs="Times New Roman"/>
          <w:kern w:val="2"/>
          <w:sz w:val="32"/>
          <w:szCs w:val="32"/>
        </w:rPr>
        <w:br w:type="page"/>
      </w:r>
    </w:p>
    <w:p>
      <w:pPr>
        <w:snapToGrid w:val="0"/>
        <w:rPr>
          <w:rFonts w:ascii="仿宋_GB2312" w:hAnsi="华文细黑" w:eastAsia="仿宋_GB2312"/>
          <w:sz w:val="24"/>
          <w:szCs w:val="24"/>
        </w:rPr>
      </w:pPr>
      <w:r>
        <w:pict>
          <v:shape id="Oval 34818" o:spid="_x0000_s2125" o:spt="3" type="#_x0000_t3" style="position:absolute;left:0pt;margin-left:135.95pt;margin-top:14.15pt;height:425.3pt;width:441.05pt;z-index:251656192;mso-width-relative:page;mso-height-relative:page;" filled="f" stroked="t" coordsize="21600,21600">
            <v:path/>
            <v:fill on="f" focussize="0,0"/>
            <v:stroke weight="2pt" color="#0000FF"/>
            <v:imagedata o:title=""/>
            <o:lock v:ext="edit"/>
          </v:shape>
        </w:pict>
      </w:r>
      <w:r>
        <w:rPr>
          <w:rFonts w:hint="eastAsia" w:ascii="仿宋_GB2312" w:hAnsi="华文细黑" w:eastAsia="仿宋_GB2312"/>
          <w:sz w:val="24"/>
          <w:szCs w:val="24"/>
        </w:rPr>
        <w:t>附图4：周边环境危险目标分布图</w:t>
      </w:r>
    </w:p>
    <w:p>
      <w:pPr>
        <w:snapToGrid w:val="0"/>
        <w:rPr>
          <w:rFonts w:ascii="宋体" w:hAnsi="宋体"/>
        </w:rPr>
      </w:pPr>
      <w:r>
        <w:pict>
          <v:shape id="_x0000_s2181" o:spid="_x0000_s2181" o:spt="32" type="#_x0000_t32" style="position:absolute;left:0pt;margin-left:361.7pt;margin-top:225.7pt;height:0pt;width:209.25pt;z-index:251692032;mso-width-relative:page;mso-height-relative:page;" o:connectortype="straight" filled="f" stroked="t" coordsize="21600,21600">
            <v:path arrowok="t"/>
            <v:fill on="f" focussize="0,0"/>
            <v:stroke weight="3pt" color="#FF0000" endarrow="block"/>
            <v:imagedata o:title=""/>
            <o:lock v:ext="edit"/>
          </v:shape>
        </w:pict>
      </w:r>
      <w:r>
        <w:pict>
          <v:shape id="_x0000_s2177" o:spid="_x0000_s2177" o:spt="3" type="#_x0000_t3" style="position:absolute;left:0pt;margin-left:407.2pt;margin-top:67.4pt;height:7.8pt;width:9pt;z-index:-251679744;mso-width-relative:page;mso-height-relative:page;" fillcolor="#FFFF00" filled="t" stroked="t" coordsize="21600,21600">
            <v:path/>
            <v:fill on="t" focussize="0,0"/>
            <v:stroke color="#FFFF00"/>
            <v:imagedata o:title=""/>
            <o:lock v:ext="edit"/>
          </v:shape>
        </w:pict>
      </w:r>
      <w:r>
        <w:pict>
          <v:shape id="_x0000_s2176" o:spid="_x0000_s2176" o:spt="3" type="#_x0000_t3" style="position:absolute;left:0pt;margin-left:460.3pt;margin-top:90.55pt;height:7.8pt;width:9pt;z-index:-251680768;mso-width-relative:page;mso-height-relative:page;" fillcolor="#FFFF00" filled="t" stroked="t" coordsize="21600,21600">
            <v:path/>
            <v:fill on="t" focussize="0,0"/>
            <v:stroke color="#FFFF00"/>
            <v:imagedata o:title=""/>
            <o:lock v:ext="edit"/>
          </v:shape>
        </w:pict>
      </w:r>
      <w:r>
        <w:pict>
          <v:shape id="_x0000_s2175" o:spid="_x0000_s2175" o:spt="3" type="#_x0000_t3" style="position:absolute;left:0pt;margin-left:480.95pt;margin-top:123.05pt;height:7.8pt;width:9pt;z-index:-251681792;mso-width-relative:page;mso-height-relative:page;" fillcolor="#FFFF00" filled="t" stroked="t" coordsize="21600,21600">
            <v:path/>
            <v:fill on="t" focussize="0,0"/>
            <v:stroke color="#FFFF00"/>
            <v:imagedata o:title=""/>
            <o:lock v:ext="edit"/>
          </v:shape>
        </w:pict>
      </w:r>
      <w:r>
        <w:pict>
          <v:shape id="_x0000_s2174" o:spid="_x0000_s2174" o:spt="3" type="#_x0000_t3" style="position:absolute;left:0pt;margin-left:526.55pt;margin-top:253.65pt;height:7.8pt;width:9pt;z-index:-251682816;mso-width-relative:page;mso-height-relative:page;" fillcolor="#FFFF00" filled="t" stroked="t" coordsize="21600,21600">
            <v:path/>
            <v:fill on="t" focussize="0,0"/>
            <v:stroke color="#FFFF00"/>
            <v:imagedata o:title=""/>
            <o:lock v:ext="edit"/>
          </v:shape>
        </w:pict>
      </w:r>
      <w:r>
        <w:pict>
          <v:shape id="_x0000_s2173" o:spid="_x0000_s2173" o:spt="3" type="#_x0000_t3" style="position:absolute;left:0pt;margin-left:512.2pt;margin-top:354.9pt;height:7.8pt;width:9pt;z-index:-251684864;mso-width-relative:page;mso-height-relative:page;" fillcolor="#FFFF00" filled="t" stroked="t" coordsize="21600,21600">
            <v:path/>
            <v:fill on="t" focussize="0,0"/>
            <v:stroke color="#FFFF00"/>
            <v:imagedata o:title=""/>
            <o:lock v:ext="edit"/>
          </v:shape>
        </w:pict>
      </w:r>
      <w:r>
        <w:pict>
          <v:shape id="_x0000_s2172" o:spid="_x0000_s2172" o:spt="3" type="#_x0000_t3" style="position:absolute;left:0pt;margin-left:489.7pt;margin-top:334.3pt;height:7.8pt;width:9pt;z-index:-251685888;mso-width-relative:page;mso-height-relative:page;" fillcolor="#FFFF00" filled="t" stroked="t" coordsize="21600,21600">
            <v:path/>
            <v:fill on="t" focussize="0,0"/>
            <v:stroke color="#FFFF00"/>
            <v:imagedata o:title=""/>
            <o:lock v:ext="edit"/>
          </v:shape>
        </w:pict>
      </w:r>
      <w:r>
        <w:pict>
          <v:shape id="_x0000_s2171" o:spid="_x0000_s2171" o:spt="3" type="#_x0000_t3" style="position:absolute;left:0pt;margin-left:490.95pt;margin-top:298.05pt;height:7.8pt;width:9pt;z-index:-251686912;mso-width-relative:page;mso-height-relative:page;" fillcolor="#FFFF00" filled="t" stroked="t" coordsize="21600,21600">
            <v:path/>
            <v:fill on="t" focussize="0,0"/>
            <v:stroke color="#FFFF00"/>
            <v:imagedata o:title=""/>
            <o:lock v:ext="edit"/>
          </v:shape>
        </w:pict>
      </w:r>
      <w:r>
        <w:pict>
          <v:shape id="_x0000_s2170" o:spid="_x0000_s2170" o:spt="3" type="#_x0000_t3" style="position:absolute;left:0pt;margin-left:494.7pt;margin-top:276.75pt;height:7.8pt;width:9pt;z-index:-251687936;mso-width-relative:page;mso-height-relative:page;" fillcolor="#FFFF00" filled="t" stroked="t" coordsize="21600,21600">
            <v:path/>
            <v:fill on="t" focussize="0,0"/>
            <v:stroke color="#FFFF00"/>
            <v:imagedata o:title=""/>
            <o:lock v:ext="edit"/>
          </v:shape>
        </w:pict>
      </w:r>
      <w:r>
        <w:pict>
          <v:shape id="_x0000_s2169" o:spid="_x0000_s2169" o:spt="3" type="#_x0000_t3" style="position:absolute;left:0pt;margin-left:507.85pt;margin-top:186.8pt;height:7.8pt;width:9pt;z-index:-251688960;mso-width-relative:page;mso-height-relative:page;" fillcolor="#FFFF00" filled="t" stroked="t" coordsize="21600,21600">
            <v:path/>
            <v:fill on="t" focussize="0,0"/>
            <v:stroke color="#FFFF00"/>
            <v:imagedata o:title=""/>
            <o:lock v:ext="edit"/>
          </v:shape>
        </w:pict>
      </w:r>
      <w:r>
        <w:pict>
          <v:shape id="_x0000_s2168" o:spid="_x0000_s2168" o:spt="3" type="#_x0000_t3" style="position:absolute;left:0pt;margin-left:557.8pt;margin-top:204.3pt;height:7.8pt;width:9pt;z-index:-251689984;mso-width-relative:page;mso-height-relative:page;" fillcolor="#FFFF00" filled="t" stroked="t" coordsize="21600,21600">
            <v:path/>
            <v:fill on="t" focussize="0,0"/>
            <v:stroke color="#FFFF00"/>
            <v:imagedata o:title=""/>
            <o:lock v:ext="edit"/>
          </v:shape>
        </w:pict>
      </w:r>
      <w:r>
        <w:pict>
          <v:shape id="_x0000_s2167" o:spid="_x0000_s2167" o:spt="3" type="#_x0000_t3" style="position:absolute;left:0pt;margin-left:420.7pt;margin-top:373.65pt;height:7.8pt;width:9pt;z-index:-251691008;mso-width-relative:page;mso-height-relative:page;" fillcolor="#FFFF00" filled="t" stroked="t" coordsize="21600,21600">
            <v:path/>
            <v:fill on="t" focussize="0,0"/>
            <v:stroke color="#FFFF00"/>
            <v:imagedata o:title=""/>
            <o:lock v:ext="edit"/>
          </v:shape>
        </w:pict>
      </w:r>
      <w:r>
        <w:pict>
          <v:shape id="_x0000_s2166" o:spid="_x0000_s2166" o:spt="3" type="#_x0000_t3" style="position:absolute;left:0pt;margin-left:427.6pt;margin-top:353.65pt;height:7.8pt;width:9pt;z-index:251678720;mso-width-relative:page;mso-height-relative:page;" fillcolor="#FFFF00" filled="t" stroked="t" coordsize="21600,21600">
            <v:path/>
            <v:fill on="t" focussize="0,0"/>
            <v:stroke color="#FFFF00"/>
            <v:imagedata o:title=""/>
            <o:lock v:ext="edit"/>
          </v:shape>
        </w:pict>
      </w:r>
      <w:r>
        <w:pict>
          <v:shape id="_x0000_s2165" o:spid="_x0000_s2165" o:spt="3" type="#_x0000_t3" style="position:absolute;left:0pt;margin-left:320.1pt;margin-top:414.9pt;height:7.8pt;width:9pt;z-index:-251643904;mso-width-relative:page;mso-height-relative:page;" fillcolor="#FFFF00" filled="t" stroked="t" coordsize="21600,21600">
            <v:path/>
            <v:fill on="t" focussize="0,0"/>
            <v:stroke color="#FFFF00"/>
            <v:imagedata o:title=""/>
            <o:lock v:ext="edit"/>
          </v:shape>
        </w:pict>
      </w:r>
      <w:r>
        <w:pict>
          <v:shape id="_x0000_s2164" o:spid="_x0000_s2164" o:spt="3" type="#_x0000_t3" style="position:absolute;left:0pt;margin-left:256.35pt;margin-top:376.8pt;height:7.8pt;width:9pt;z-index:-251683840;mso-width-relative:page;mso-height-relative:page;" fillcolor="#FFFF00" filled="t" stroked="t" coordsize="21600,21600">
            <v:path/>
            <v:fill on="t" focussize="0,0"/>
            <v:stroke color="#FFFF00"/>
            <v:imagedata o:title=""/>
            <o:lock v:ext="edit"/>
          </v:shape>
        </w:pict>
      </w:r>
      <w:r>
        <w:pict>
          <v:shape id="_x0000_s2163" o:spid="_x0000_s2163" o:spt="3" type="#_x0000_t3" style="position:absolute;left:0pt;margin-left:254.5pt;margin-top:348.65pt;height:7.8pt;width:9pt;z-index:251679744;mso-width-relative:page;mso-height-relative:page;" fillcolor="#FFFF00" filled="t" stroked="t" coordsize="21600,21600">
            <v:path/>
            <v:fill on="t" focussize="0,0"/>
            <v:stroke color="#FFFF00"/>
            <v:imagedata o:title=""/>
            <o:lock v:ext="edit"/>
          </v:shape>
        </w:pict>
      </w:r>
      <w:r>
        <w:pict>
          <v:shape id="_x0000_s2162" o:spid="_x0000_s2162" o:spt="3" type="#_x0000_t3" style="position:absolute;left:0pt;margin-left:220.1pt;margin-top:305.55pt;height:7.8pt;width:9pt;z-index:251644928;mso-width-relative:page;mso-height-relative:page;" fillcolor="#FFFF00" filled="t" stroked="t" coordsize="21600,21600">
            <v:path/>
            <v:fill on="t" focussize="0,0"/>
            <v:stroke color="#FFFF00"/>
            <v:imagedata o:title=""/>
            <o:lock v:ext="edit"/>
          </v:shape>
        </w:pict>
      </w:r>
      <w:r>
        <w:pict>
          <v:shape id="_x0000_s2161" o:spid="_x0000_s2161" o:spt="3" type="#_x0000_t3" style="position:absolute;left:0pt;margin-left:218.2pt;margin-top:330.55pt;height:7.8pt;width:9pt;z-index:-251678720;mso-width-relative:page;mso-height-relative:page;" fillcolor="#FFFF00" filled="t" stroked="t" coordsize="21600,21600">
            <v:path/>
            <v:fill on="t" focussize="0,0"/>
            <v:stroke color="#FFFF00"/>
            <v:imagedata o:title=""/>
            <o:lock v:ext="edit"/>
          </v:shape>
        </w:pict>
      </w:r>
      <w:r>
        <w:pict>
          <v:shape id="_x0000_s2160" o:spid="_x0000_s2160" o:spt="3" type="#_x0000_t3" style="position:absolute;left:0pt;margin-left:216.85pt;margin-top:331pt;height:7.8pt;width:9pt;z-index:251645952;mso-width-relative:page;mso-height-relative:page;" fillcolor="#FFFF00" filled="t" stroked="t" coordsize="21600,21600">
            <v:path/>
            <v:fill on="t" focussize="0,0"/>
            <v:stroke color="#FFFF00"/>
            <v:imagedata o:title=""/>
            <o:lock v:ext="edit"/>
          </v:shape>
        </w:pict>
      </w:r>
      <w:r>
        <w:pict>
          <v:shape id="_x0000_s2159" o:spid="_x0000_s2159" o:spt="3" type="#_x0000_t3" style="position:absolute;left:0pt;margin-left:404.9pt;margin-top:392.25pt;height:7.8pt;width:9pt;z-index:251680768;mso-width-relative:page;mso-height-relative:page;" fillcolor="#FFFF00" filled="t" stroked="t" coordsize="21600,21600">
            <v:path/>
            <v:fill on="t" focussize="0,0"/>
            <v:stroke color="#FFFF00"/>
            <v:imagedata o:title=""/>
            <o:lock v:ext="edit"/>
          </v:shape>
        </w:pict>
      </w:r>
      <w:r>
        <w:pict>
          <v:shape id="_x0000_s2158" o:spid="_x0000_s2158" o:spt="3" type="#_x0000_t3" style="position:absolute;left:0pt;margin-left:369.3pt;margin-top:378.5pt;height:7.8pt;width:9pt;z-index:251675648;mso-width-relative:page;mso-height-relative:page;" fillcolor="#FFFF00" filled="t" stroked="t" coordsize="21600,21600">
            <v:path/>
            <v:fill on="t" focussize="0,0"/>
            <v:stroke color="#FFFF00"/>
            <v:imagedata o:title=""/>
            <o:lock v:ext="edit"/>
          </v:shape>
        </w:pict>
      </w:r>
      <w:r>
        <w:pict>
          <v:shape id="_x0000_s2157" o:spid="_x0000_s2157" o:spt="3" type="#_x0000_t3" style="position:absolute;left:0pt;margin-left:212.3pt;margin-top:167.55pt;height:7.8pt;width:9pt;z-index:251646976;mso-width-relative:page;mso-height-relative:page;" fillcolor="#FFFF00" filled="t" stroked="t" coordsize="21600,21600">
            <v:path/>
            <v:fill on="t" focussize="0,0"/>
            <v:stroke color="#FFFF00"/>
            <v:imagedata o:title=""/>
            <o:lock v:ext="edit"/>
          </v:shape>
        </w:pict>
      </w:r>
      <w:r>
        <w:pict>
          <v:shape id="_x0000_s2156" o:spid="_x0000_s2156" o:spt="3" type="#_x0000_t3" style="position:absolute;left:0pt;margin-left:212.3pt;margin-top:165.65pt;height:7.8pt;width:9pt;z-index:-251673600;mso-width-relative:page;mso-height-relative:page;" fillcolor="#FFFF00" filled="t" stroked="t" coordsize="21600,21600">
            <v:path/>
            <v:fill on="t" focussize="0,0"/>
            <v:stroke color="#FFFF00"/>
            <v:imagedata o:title=""/>
            <o:lock v:ext="edit"/>
          </v:shape>
        </w:pict>
      </w:r>
      <w:r>
        <w:pict>
          <v:shape id="_x0000_s2155" o:spid="_x0000_s2155" o:spt="3" type="#_x0000_t3" style="position:absolute;left:0pt;margin-left:212.3pt;margin-top:161.9pt;height:7.8pt;width:9pt;z-index:-251672576;mso-width-relative:page;mso-height-relative:page;" fillcolor="#FFFF00" filled="t" stroked="t" coordsize="21600,21600">
            <v:path/>
            <v:fill on="t" focussize="0,0"/>
            <v:stroke color="#FFFF00"/>
            <v:imagedata o:title=""/>
            <o:lock v:ext="edit"/>
          </v:shape>
        </w:pict>
      </w:r>
      <w:r>
        <w:pict>
          <v:shape id="_x0000_s2154" o:spid="_x0000_s2154" o:spt="3" type="#_x0000_t3" style="position:absolute;left:0pt;margin-left:212.3pt;margin-top:143.15pt;height:7.8pt;width:9pt;z-index:-251668480;mso-width-relative:page;mso-height-relative:page;" fillcolor="#FFFF00" filled="t" stroked="t" coordsize="21600,21600">
            <v:path/>
            <v:fill on="t" focussize="0,0"/>
            <v:stroke color="#FFFF00"/>
            <v:imagedata o:title=""/>
            <o:lock v:ext="edit"/>
          </v:shape>
        </w:pict>
      </w:r>
      <w:r>
        <w:pict>
          <v:shape id="_x0000_s2153" o:spid="_x0000_s2153" o:spt="3" type="#_x0000_t3" style="position:absolute;left:0pt;margin-left:153.7pt;margin-top:182.9pt;height:7.8pt;width:9pt;z-index:-251674624;mso-width-relative:page;mso-height-relative:page;" fillcolor="#FFFF00" filled="t" stroked="t" coordsize="21600,21600">
            <v:path/>
            <v:fill on="t" focussize="0,0"/>
            <v:stroke color="#FFFF00"/>
            <v:imagedata o:title=""/>
            <o:lock v:ext="edit"/>
          </v:shape>
        </w:pict>
      </w:r>
      <w:r>
        <w:pict>
          <v:shape id="_x0000_s2152" o:spid="_x0000_s2152" o:spt="3" type="#_x0000_t3" style="position:absolute;left:0pt;margin-left:156.7pt;margin-top:182.55pt;height:7.8pt;width:9pt;z-index:251683840;mso-width-relative:page;mso-height-relative:page;" fillcolor="#FFFF00" filled="t" stroked="t" coordsize="21600,21600">
            <v:path/>
            <v:fill on="t" focussize="0,0"/>
            <v:stroke color="#FFFF00"/>
            <v:imagedata o:title=""/>
            <o:lock v:ext="edit"/>
          </v:shape>
        </w:pict>
      </w:r>
      <w:r>
        <w:drawing>
          <wp:inline distT="0" distB="0" distL="114300" distR="114300">
            <wp:extent cx="8510270" cy="5391150"/>
            <wp:effectExtent l="19050" t="0" r="5080" b="0"/>
            <wp:docPr id="3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
                    <pic:cNvPicPr>
                      <a:picLocks noChangeAspect="1"/>
                    </pic:cNvPicPr>
                  </pic:nvPicPr>
                  <pic:blipFill>
                    <a:blip r:embed="rId29"/>
                    <a:srcRect t="4090" b="-477"/>
                    <a:stretch>
                      <a:fillRect/>
                    </a:stretch>
                  </pic:blipFill>
                  <pic:spPr>
                    <a:xfrm>
                      <a:off x="0" y="0"/>
                      <a:ext cx="8510270" cy="5391150"/>
                    </a:xfrm>
                    <a:prstGeom prst="rect">
                      <a:avLst/>
                    </a:prstGeom>
                    <a:noFill/>
                    <a:ln w="9525">
                      <a:noFill/>
                    </a:ln>
                  </pic:spPr>
                </pic:pic>
              </a:graphicData>
            </a:graphic>
          </wp:inline>
        </w:drawing>
      </w:r>
      <w:r>
        <w:pict>
          <v:shape id="_x0000_s2151" o:spid="_x0000_s2151" o:spt="3" type="#_x0000_t3" style="position:absolute;left:0pt;margin-left:156.05pt;margin-top:180.7pt;height:7.8pt;width:9pt;z-index:251684864;mso-width-relative:page;mso-height-relative:page;" fillcolor="#FFFF00" filled="t" stroked="t" coordsize="21600,21600">
            <v:path/>
            <v:fill on="t" focussize="0,0"/>
            <v:stroke color="#FFFF00"/>
            <v:imagedata o:title=""/>
            <o:lock v:ext="edit"/>
          </v:shape>
        </w:pict>
      </w:r>
      <w:r>
        <w:pict>
          <v:shape id="_x0000_s2150" o:spid="_x0000_s2150" o:spt="3" type="#_x0000_t3" style="position:absolute;left:0pt;margin-left:157.3pt;margin-top:180.65pt;height:7.8pt;width:9pt;z-index:251685888;mso-width-relative:page;mso-height-relative:page;" fillcolor="#FFFF00" filled="t" stroked="t" coordsize="21600,21600">
            <v:path/>
            <v:fill on="t" focussize="0,0"/>
            <v:stroke color="#FFFF00"/>
            <v:imagedata o:title=""/>
            <o:lock v:ext="edit"/>
          </v:shape>
        </w:pict>
      </w:r>
      <w:r>
        <w:pict>
          <v:shape id="_x0000_s2149" o:spid="_x0000_s2149" o:spt="3" type="#_x0000_t3" style="position:absolute;left:0pt;margin-left:202.95pt;margin-top:198.8pt;height:7.8pt;width:9pt;z-index:-251675648;mso-width-relative:page;mso-height-relative:page;" fillcolor="#FFFF00" filled="t" stroked="t" coordsize="21600,21600">
            <v:path/>
            <v:fill on="t" focussize="0,0"/>
            <v:stroke color="#FFFF00"/>
            <v:imagedata o:title=""/>
            <o:lock v:ext="edit"/>
          </v:shape>
        </w:pict>
      </w:r>
      <w:r>
        <w:pict>
          <v:shape id="_x0000_s2148" o:spid="_x0000_s2148" o:spt="3" type="#_x0000_t3" style="position:absolute;left:0pt;margin-left:438.2pt;margin-top:108.15pt;height:7.8pt;width:9pt;z-index:-251676672;mso-width-relative:page;mso-height-relative:page;" fillcolor="#FFFF00" filled="t" stroked="t" coordsize="21600,21600">
            <v:path/>
            <v:fill on="t" focussize="0,0"/>
            <v:stroke color="#FFFF00"/>
            <v:imagedata o:title=""/>
            <o:lock v:ext="edit"/>
          </v:shape>
        </w:pict>
      </w:r>
      <w:r>
        <w:pict>
          <v:shape id="_x0000_s2147" o:spid="_x0000_s2147" o:spt="3" type="#_x0000_t3" style="position:absolute;left:0pt;margin-left:334.35pt;margin-top:352.9pt;height:7.8pt;width:9pt;z-index:-251677696;mso-width-relative:page;mso-height-relative:page;" fillcolor="#FFFF00" filled="t" stroked="t" coordsize="21600,21600">
            <v:path/>
            <v:fill on="t" focussize="0,0"/>
            <v:stroke color="#FFFF00"/>
            <v:imagedata o:title=""/>
            <o:lock v:ext="edit"/>
          </v:shape>
        </w:pict>
      </w:r>
      <w:r>
        <w:pict>
          <v:shape id="_x0000_s2146" o:spid="_x0000_s2146" o:spt="3" type="#_x0000_t3" style="position:absolute;left:0pt;margin-left:369.35pt;margin-top:336.65pt;height:7.8pt;width:9pt;z-index:251681792;mso-width-relative:page;mso-height-relative:page;" fillcolor="#FFFF00" filled="t" stroked="t" coordsize="21600,21600">
            <v:path/>
            <v:fill on="t" focussize="0,0"/>
            <v:stroke color="#FFFF00"/>
            <v:imagedata o:title=""/>
            <o:lock v:ext="edit"/>
          </v:shape>
        </w:pict>
      </w:r>
      <w:r>
        <w:pict>
          <v:shape id="_x0000_s2145" o:spid="_x0000_s2145" o:spt="3" type="#_x0000_t3" style="position:absolute;left:0pt;margin-left:399.95pt;margin-top:327.9pt;height:7.8pt;width:9pt;z-index:251677696;mso-width-relative:page;mso-height-relative:page;" fillcolor="#FFFF00" filled="t" stroked="t" coordsize="21600,21600">
            <v:path/>
            <v:fill on="t" focussize="0,0"/>
            <v:stroke color="#FFFF00"/>
            <v:imagedata o:title=""/>
            <o:lock v:ext="edit"/>
          </v:shape>
        </w:pict>
      </w:r>
      <w:r>
        <w:pict>
          <v:shape id="_x0000_s2144" o:spid="_x0000_s2144" o:spt="3" type="#_x0000_t3" style="position:absolute;left:0pt;margin-left:248.55pt;margin-top:150.65pt;height:7.8pt;width:9pt;z-index:251676672;mso-width-relative:page;mso-height-relative:page;" fillcolor="#FFFF00" filled="t" stroked="t" coordsize="21600,21600">
            <v:path/>
            <v:fill on="t" focussize="0,0"/>
            <v:stroke color="#FFFF00"/>
            <v:imagedata o:title=""/>
            <o:lock v:ext="edit"/>
          </v:shape>
        </w:pict>
      </w:r>
      <w:r>
        <w:pict>
          <v:shape id="_x0000_s2143" o:spid="_x0000_s2143" o:spt="3" type="#_x0000_t3" style="position:absolute;left:0pt;margin-left:188.55pt;margin-top:252.55pt;height:7.8pt;width:9pt;z-index:251674624;mso-width-relative:page;mso-height-relative:page;" fillcolor="#FFFF00" filled="t" stroked="t" coordsize="21600,21600">
            <v:path/>
            <v:fill on="t" focussize="0,0"/>
            <v:stroke color="#FFFF00"/>
            <v:imagedata o:title=""/>
            <o:lock v:ext="edit"/>
          </v:shape>
        </w:pict>
      </w:r>
      <w:r>
        <w:pict>
          <v:shape id="_x0000_s2142" o:spid="_x0000_s2142" o:spt="3" type="#_x0000_t3" style="position:absolute;left:0pt;margin-left:243.55pt;margin-top:189.4pt;height:7.8pt;width:9pt;z-index:251673600;mso-width-relative:page;mso-height-relative:page;" fillcolor="#FFFF00" filled="t" stroked="t" coordsize="21600,21600">
            <v:path/>
            <v:fill on="t" focussize="0,0"/>
            <v:stroke color="#FFFF00"/>
            <v:imagedata o:title=""/>
            <o:lock v:ext="edit"/>
          </v:shape>
        </w:pict>
      </w:r>
      <w:r>
        <w:pict>
          <v:shape id="_x0000_s2141" o:spid="_x0000_s2141" o:spt="3" type="#_x0000_t3" style="position:absolute;left:0pt;margin-left:262.3pt;margin-top:256.9pt;height:7.8pt;width:9pt;z-index:251671552;mso-width-relative:page;mso-height-relative:page;" fillcolor="#FFFF00" filled="t" stroked="t" coordsize="21600,21600">
            <v:path/>
            <v:fill on="t" focussize="0,0"/>
            <v:stroke color="#FFFF00"/>
            <v:imagedata o:title=""/>
            <o:lock v:ext="edit"/>
          </v:shape>
        </w:pict>
      </w:r>
      <w:r>
        <w:pict>
          <v:shape id="_x0000_s2140" o:spid="_x0000_s2140" o:spt="3" type="#_x0000_t3" style="position:absolute;left:0pt;margin-left:261.7pt;margin-top:292.55pt;height:7.8pt;width:9pt;z-index:251670528;mso-width-relative:page;mso-height-relative:page;" fillcolor="#FFFF00" filled="t" stroked="t" coordsize="21600,21600">
            <v:path/>
            <v:fill on="t" focussize="0,0"/>
            <v:stroke color="#FFFF00"/>
            <v:imagedata o:title=""/>
            <o:lock v:ext="edit"/>
          </v:shape>
        </w:pict>
      </w:r>
      <w:r>
        <w:pict>
          <v:shape id="Oval 34830" o:spid="_x0000_s2129" o:spt="3" type="#_x0000_t3" style="position:absolute;left:0pt;margin-left:296.45pt;margin-top:129.65pt;height:7.8pt;width:9pt;z-index:251661312;mso-width-relative:page;mso-height-relative:page;" fillcolor="#FFFF00" filled="t" stroked="t" coordsize="21600,21600">
            <v:path/>
            <v:fill on="t" focussize="0,0"/>
            <v:stroke color="#FFFF00"/>
            <v:imagedata o:title=""/>
            <o:lock v:ext="edit"/>
          </v:shape>
        </w:pict>
      </w:r>
      <w:r>
        <w:pict>
          <v:shape id="_x0000_s2139" o:spid="_x0000_s2139" o:spt="3" type="#_x0000_t3" style="position:absolute;left:0pt;margin-left:288.2pt;margin-top:152.15pt;height:7.8pt;width:9pt;z-index:251669504;mso-width-relative:page;mso-height-relative:page;" fillcolor="#FFFF00" filled="t" stroked="t" coordsize="21600,21600">
            <v:path/>
            <v:fill on="t" focussize="0,0"/>
            <v:stroke color="#FFFF00"/>
            <v:imagedata o:title=""/>
            <o:lock v:ext="edit"/>
          </v:shape>
        </w:pict>
      </w:r>
      <w:r>
        <w:pict>
          <v:shape id="_x0000_s2138" o:spid="_x0000_s2138" o:spt="3" type="#_x0000_t3" style="position:absolute;left:0pt;margin-left:450.2pt;margin-top:198.65pt;height:7.8pt;width:9pt;z-index:251668480;mso-width-relative:page;mso-height-relative:page;" fillcolor="#FFFF00" filled="t" stroked="t" coordsize="21600,21600">
            <v:path/>
            <v:fill on="t" focussize="0,0"/>
            <v:stroke color="#FFFF00"/>
            <v:imagedata o:title=""/>
            <o:lock v:ext="edit"/>
          </v:shape>
        </w:pict>
      </w:r>
      <w:r>
        <w:pict>
          <v:shape id="Oval 34823" o:spid="_x0000_s2130" o:spt="3" type="#_x0000_t3" style="position:absolute;left:0pt;margin-left:332.3pt;margin-top:131.15pt;height:7.8pt;width:9pt;z-index:251660288;mso-width-relative:page;mso-height-relative:page;" fillcolor="#FFFF00" filled="t" stroked="t" coordsize="21600,21600">
            <v:path/>
            <v:fill on="t" focussize="0,0"/>
            <v:stroke color="#FFFF00"/>
            <v:imagedata o:title=""/>
            <o:lock v:ext="edit"/>
          </v:shape>
        </w:pict>
      </w:r>
      <w:r>
        <w:pict>
          <v:shape id="_x0000_s2137" o:spid="_x0000_s2137" o:spt="3" type="#_x0000_t3" style="position:absolute;left:0pt;margin-left:290.45pt;margin-top:296.9pt;height:7.8pt;width:9pt;z-index:251667456;mso-width-relative:page;mso-height-relative:page;" fillcolor="#FFFF00" filled="t" stroked="t" coordsize="21600,21600">
            <v:path/>
            <v:fill on="t" focussize="0,0"/>
            <v:stroke color="#FFFF00"/>
            <v:imagedata o:title=""/>
            <o:lock v:ext="edit"/>
          </v:shape>
        </w:pict>
      </w:r>
      <w:r>
        <w:pict>
          <v:shape id="_x0000_s2136" o:spid="_x0000_s2136" o:spt="3" type="#_x0000_t3" style="position:absolute;left:0pt;margin-left:427.7pt;margin-top:272.9pt;height:7.8pt;width:9pt;z-index:251666432;mso-width-relative:page;mso-height-relative:page;" fillcolor="#FFFF00" filled="t" stroked="t" coordsize="21600,21600">
            <v:path/>
            <v:fill on="t" focussize="0,0"/>
            <v:stroke color="#FFFF00"/>
            <v:imagedata o:title=""/>
            <o:lock v:ext="edit"/>
          </v:shape>
        </w:pict>
      </w:r>
      <w:r>
        <w:pict>
          <v:shape id="_x0000_s2135" o:spid="_x0000_s2135" o:spt="3" type="#_x0000_t3" style="position:absolute;left:0pt;margin-left:426.2pt;margin-top:237.65pt;height:7.8pt;width:9pt;z-index:251665408;mso-width-relative:page;mso-height-relative:page;" fillcolor="#FFFF00" filled="t" stroked="t" coordsize="21600,21600">
            <v:path/>
            <v:fill on="t" focussize="0,0"/>
            <v:stroke color="#FFFF00"/>
            <v:imagedata o:title=""/>
            <o:lock v:ext="edit"/>
          </v:shape>
        </w:pict>
      </w:r>
      <w:r>
        <w:pict>
          <v:shape id="_x0000_s2134" o:spid="_x0000_s2134" o:spt="3" type="#_x0000_t3" style="position:absolute;left:0pt;margin-left:419.45pt;margin-top:139.4pt;height:7.8pt;width:9pt;z-index:251664384;mso-width-relative:page;mso-height-relative:page;" fillcolor="#FFFF00" filled="t" stroked="t" coordsize="21600,21600">
            <v:path/>
            <v:fill on="t" focussize="0,0"/>
            <v:stroke color="#FFFF00"/>
            <v:imagedata o:title=""/>
            <o:lock v:ext="edit"/>
          </v:shape>
        </w:pict>
      </w:r>
      <w:r>
        <w:pict>
          <v:shape id="_x0000_s2133" o:spid="_x0000_s2133" o:spt="3" type="#_x0000_t3" style="position:absolute;left:0pt;margin-left:317.45pt;margin-top:280.4pt;height:7.8pt;width:9pt;z-index:251663360;mso-width-relative:page;mso-height-relative:page;" fillcolor="#FFFF00" filled="t" stroked="t" coordsize="21600,21600">
            <v:path/>
            <v:fill on="t" focussize="0,0"/>
            <v:stroke color="#FFFF00"/>
            <v:imagedata o:title=""/>
            <o:lock v:ext="edit"/>
          </v:shape>
        </w:pict>
      </w:r>
      <w:r>
        <w:pict>
          <v:shape id="_x0000_s2132" o:spid="_x0000_s2132" o:spt="3" type="#_x0000_t3" style="position:absolute;left:0pt;margin-left:392.45pt;margin-top:257.15pt;height:7.8pt;width:9pt;z-index:251662336;mso-width-relative:page;mso-height-relative:page;" fillcolor="#FFFF00" filled="t" stroked="t" coordsize="21600,21600">
            <v:path/>
            <v:fill on="t" focussize="0,0"/>
            <v:stroke color="#FFFF00"/>
            <v:imagedata o:title=""/>
            <o:lock v:ext="edit"/>
          </v:shape>
        </w:pict>
      </w:r>
      <w:r>
        <w:pict>
          <v:shape id="_x0000_s2128" o:spid="_x0000_s2128" o:spt="202" type="#_x0000_t202" style="position:absolute;left:0pt;margin-left:465.4pt;margin-top:205.8pt;height:21.7pt;width:35.25pt;z-index:251651072;mso-width-relative:page;mso-height-relative:page;" filled="t" stroked="t" coordsize="21600,21600">
            <v:path/>
            <v:fill type="gradient" on="t" angle="90" focussize="0f,0f">
              <o:fill type="gradientUnscaled" v:ext="backwardCompatible"/>
            </v:fill>
            <v:stroke weight="1.25pt" color="#739CC3" joinstyle="miter"/>
            <v:imagedata o:title=""/>
            <o:lock v:ext="edit"/>
            <v:textbox>
              <w:txbxContent>
                <w:p>
                  <w:pPr>
                    <w:snapToGrid w:val="0"/>
                  </w:pPr>
                  <w:r>
                    <w:rPr>
                      <w:rFonts w:hint="eastAsia"/>
                    </w:rPr>
                    <w:t>5km</w:t>
                  </w:r>
                </w:p>
              </w:txbxContent>
            </v:textbox>
          </v:shape>
        </w:pict>
      </w:r>
      <w:r>
        <w:pict>
          <v:shape id="AutoShape 34820" o:spid="_x0000_s2126" o:spt="62" type="#_x0000_t62" style="position:absolute;left:0pt;margin-left:535.55pt;margin-top:51.8pt;height:23.4pt;width:90pt;z-index:251657216;mso-width-relative:page;mso-height-relative:page;" fillcolor="#92D050" filled="t" stroked="t" coordsize="21600,21600" adj="3240,47400">
            <v:path/>
            <v:fill on="t" focussize="0,0"/>
            <v:stroke weight="1.5pt" color="#92D050" joinstyle="miter"/>
            <v:imagedata o:title=""/>
            <o:lock v:ext="edit"/>
            <v:textbox>
              <w:txbxContent>
                <w:p>
                  <w:pPr>
                    <w:rPr>
                      <w:b/>
                    </w:rPr>
                  </w:pPr>
                  <w:r>
                    <w:rPr>
                      <w:rFonts w:hint="eastAsia"/>
                      <w:b/>
                    </w:rPr>
                    <w:t>风险评价范围</w:t>
                  </w:r>
                </w:p>
              </w:txbxContent>
            </v:textbox>
          </v:shape>
        </w:pict>
      </w:r>
      <w:r>
        <w:pict>
          <v:shape id="AutoShape 34839" o:spid="_x0000_s2124" o:spt="62" type="#_x0000_t62" style="position:absolute;left:0pt;margin-left:330.95pt;margin-top:182.45pt;height:23.4pt;width:63pt;z-index:251655168;mso-width-relative:page;mso-height-relative:page;" fillcolor="#92D050" filled="t" stroked="t" coordsize="21600,21600" adj="8811,38954">
            <v:path/>
            <v:fill on="t" focussize="0,0"/>
            <v:stroke weight="1.5pt" color="#92D050" joinstyle="miter"/>
            <v:imagedata o:title=""/>
            <o:lock v:ext="edit"/>
            <v:textbox>
              <w:txbxContent>
                <w:p>
                  <w:pPr>
                    <w:rPr>
                      <w:b/>
                      <w:color w:val="993366"/>
                    </w:rPr>
                  </w:pPr>
                  <w:r>
                    <w:rPr>
                      <w:rFonts w:hint="eastAsia"/>
                      <w:b/>
                      <w:color w:val="993366"/>
                    </w:rPr>
                    <w:t>厂区位置</w:t>
                  </w:r>
                </w:p>
              </w:txbxContent>
            </v:textbox>
          </v:shape>
        </w:pict>
      </w:r>
      <w:r>
        <w:pict>
          <v:rect id="Rectangle 34819" o:spid="_x0000_s2123" o:spt="1" style="position:absolute;left:0pt;margin-left:348.2pt;margin-top:219.05pt;height:12.75pt;width:13.5pt;z-index:251654144;mso-width-relative:page;mso-height-relative:page;" fillcolor="#FF0000" filled="t" coordsize="21600,21600">
            <v:path/>
            <v:fill on="t" focussize="0,0"/>
            <v:stroke/>
            <v:imagedata o:title=""/>
            <o:lock v:ext="edit"/>
          </v:rect>
        </w:pict>
      </w:r>
      <w:r>
        <w:pict>
          <v:shape id="Oval 34822" o:spid="_x0000_s2131" o:spt="3" type="#_x0000_t3" style="position:absolute;left:0pt;margin-left:394.7pt;margin-top:101.75pt;height:7.8pt;width:9pt;z-index:251659264;mso-width-relative:page;mso-height-relative:page;" fillcolor="#FFFF00" filled="t" stroked="t" coordsize="21600,21600">
            <v:path/>
            <v:fill on="t" focussize="0,0"/>
            <v:stroke color="#FFFF00"/>
            <v:imagedata o:title=""/>
            <o:lock v:ext="edit"/>
          </v:shape>
        </w:pict>
      </w:r>
    </w:p>
    <w:p>
      <w:pPr>
        <w:snapToGrid w:val="0"/>
        <w:spacing w:line="360" w:lineRule="auto"/>
        <w:jc w:val="center"/>
        <w:rPr>
          <w:rFonts w:ascii="仿宋_GB2312" w:hAnsi="华文细黑" w:eastAsia="仿宋_GB2312"/>
          <w:b/>
          <w:sz w:val="24"/>
          <w:szCs w:val="24"/>
        </w:rPr>
        <w:sectPr>
          <w:headerReference r:id="rId7" w:type="default"/>
          <w:pgSz w:w="16838" w:h="11906" w:orient="landscape"/>
          <w:pgMar w:top="1191" w:right="1361" w:bottom="1191" w:left="1361" w:header="851" w:footer="992" w:gutter="0"/>
          <w:cols w:space="0" w:num="1"/>
          <w:docGrid w:type="linesAndChars" w:linePitch="312" w:charSpace="0"/>
        </w:sectPr>
      </w:pPr>
    </w:p>
    <w:p>
      <w:pPr>
        <w:snapToGrid w:val="0"/>
        <w:spacing w:line="360" w:lineRule="auto"/>
        <w:rPr>
          <w:rFonts w:ascii="仿宋_GB2312" w:hAnsi="华文细黑" w:eastAsia="仿宋_GB2312" w:cs="宋体"/>
          <w:sz w:val="24"/>
          <w:szCs w:val="24"/>
        </w:rPr>
      </w:pPr>
      <w:r>
        <w:rPr>
          <w:rFonts w:hint="eastAsia" w:ascii="仿宋_GB2312" w:hAnsi="华文细黑" w:eastAsia="仿宋_GB2312"/>
          <w:sz w:val="24"/>
          <w:szCs w:val="24"/>
        </w:rPr>
        <w:t>附表5：应急救援联系电话</w:t>
      </w:r>
      <w:bookmarkEnd w:id="220"/>
      <w:bookmarkEnd w:id="221"/>
    </w:p>
    <w:p>
      <w:pPr>
        <w:snapToGrid w:val="0"/>
        <w:spacing w:line="360" w:lineRule="auto"/>
        <w:rPr>
          <w:rFonts w:ascii="仿宋_GB2312" w:hAnsi="华文细黑" w:eastAsia="仿宋_GB2312"/>
          <w:b/>
          <w:color w:val="FF0000"/>
          <w:sz w:val="24"/>
          <w:szCs w:val="24"/>
        </w:rPr>
      </w:pPr>
      <w:r>
        <w:rPr>
          <w:rFonts w:hint="eastAsia" w:ascii="仿宋_GB2312" w:hAnsi="华文细黑" w:eastAsia="仿宋_GB2312"/>
          <w:b/>
          <w:sz w:val="24"/>
          <w:szCs w:val="24"/>
        </w:rPr>
        <w:t>1）</w:t>
      </w:r>
      <w:r>
        <w:rPr>
          <w:rFonts w:hint="eastAsia" w:ascii="仿宋_GB2312" w:hAnsi="华文细黑" w:eastAsia="仿宋_GB2312"/>
          <w:sz w:val="24"/>
          <w:szCs w:val="24"/>
        </w:rPr>
        <w:t>24小时值班电话：</w:t>
      </w:r>
      <w:r>
        <w:rPr>
          <w:rFonts w:hint="eastAsia" w:ascii="仿宋" w:hAnsi="仿宋" w:eastAsia="仿宋" w:cs="仿宋"/>
          <w:kern w:val="11"/>
          <w:sz w:val="24"/>
          <w:szCs w:val="24"/>
        </w:rPr>
        <w:t>13953588758</w:t>
      </w:r>
    </w:p>
    <w:p>
      <w:pPr>
        <w:snapToGrid w:val="0"/>
        <w:spacing w:line="360" w:lineRule="auto"/>
        <w:rPr>
          <w:rFonts w:ascii="仿宋_GB2312" w:hAnsi="华文细黑" w:eastAsia="仿宋_GB2312"/>
          <w:b/>
          <w:sz w:val="28"/>
          <w:szCs w:val="28"/>
        </w:rPr>
      </w:pPr>
      <w:r>
        <w:rPr>
          <w:rFonts w:hint="eastAsia" w:ascii="仿宋_GB2312" w:hAnsi="华文细黑" w:eastAsia="仿宋_GB2312"/>
          <w:b/>
          <w:sz w:val="24"/>
          <w:szCs w:val="24"/>
        </w:rPr>
        <w:t>2）</w:t>
      </w:r>
      <w:r>
        <w:rPr>
          <w:rFonts w:hint="eastAsia" w:ascii="仿宋_GB2312" w:hAnsi="华文细黑" w:eastAsia="仿宋_GB2312"/>
          <w:sz w:val="24"/>
          <w:szCs w:val="24"/>
        </w:rPr>
        <w:t>应急指挥部、应急救援小组成员联系方式</w:t>
      </w:r>
    </w:p>
    <w:tbl>
      <w:tblPr>
        <w:tblStyle w:val="26"/>
        <w:tblW w:w="8208" w:type="dxa"/>
        <w:jc w:val="center"/>
        <w:tblInd w:w="0" w:type="dxa"/>
        <w:tblLayout w:type="fixed"/>
        <w:tblCellMar>
          <w:top w:w="0" w:type="dxa"/>
          <w:left w:w="108" w:type="dxa"/>
          <w:bottom w:w="0" w:type="dxa"/>
          <w:right w:w="108" w:type="dxa"/>
        </w:tblCellMar>
      </w:tblPr>
      <w:tblGrid>
        <w:gridCol w:w="1626"/>
        <w:gridCol w:w="1989"/>
        <w:gridCol w:w="2418"/>
        <w:gridCol w:w="2175"/>
      </w:tblGrid>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姓名</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部门职务</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小组职务</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联系方式</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陈汶年</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董事长</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总指挥</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highlight w:val="yellow"/>
              </w:rPr>
            </w:pPr>
            <w:r>
              <w:rPr>
                <w:rFonts w:hint="eastAsia" w:ascii="仿宋" w:hAnsi="仿宋" w:eastAsia="仿宋"/>
                <w:kern w:val="2"/>
                <w:sz w:val="21"/>
                <w:szCs w:val="21"/>
              </w:rPr>
              <w:t>13963817008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李德成</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副总经理</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副总指挥</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15865355098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
                <w:sz w:val="21"/>
                <w:szCs w:val="21"/>
              </w:rPr>
            </w:pPr>
            <w:r>
              <w:rPr>
                <w:rFonts w:hint="eastAsia" w:ascii="仿宋" w:hAnsi="仿宋" w:eastAsia="仿宋" w:cs="仿宋"/>
                <w:sz w:val="21"/>
                <w:szCs w:val="21"/>
              </w:rPr>
              <w:t>孙行用</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副总经理</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副总指挥</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13884641076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姜作恩</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办公室主任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疏散组组长</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15854505616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韩洪友</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司机</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疏散组成员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13964518731</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李永国</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供应主任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疏散组成员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13515458552</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赵承功</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销售主任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疏散组成员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13573505776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席永利</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保卫科主任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警戒组组长</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15053526638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顾兆烨</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环保主任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警戒组成员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13953588758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姜忠川</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警戒组成员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18863873963</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程盼盼</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警戒组成员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13053596378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赵昊业</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警戒组成员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15763810768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张云起</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副总经理</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通讯组组长</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13953538678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刘腾功</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司机</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通讯组成员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13792561100</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顾福娜</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仓库主任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通讯组成员</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15820055700</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姜月丽</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财务课主任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救护组组长</w:t>
            </w:r>
          </w:p>
        </w:tc>
        <w:tc>
          <w:tcPr>
            <w:tcW w:w="217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13853527830</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张云清</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救护组成员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13695453616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杨玲</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救护组成员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15564528806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王艳</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救护组成员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宋体"/>
                <w:kern w:val="2"/>
                <w:sz w:val="21"/>
                <w:szCs w:val="21"/>
              </w:rPr>
            </w:pPr>
            <w:r>
              <w:rPr>
                <w:rFonts w:hint="eastAsia" w:ascii="仿宋" w:hAnsi="仿宋" w:eastAsia="仿宋" w:cs="宋体"/>
                <w:kern w:val="2"/>
                <w:sz w:val="21"/>
                <w:szCs w:val="21"/>
              </w:rPr>
              <w:t>13853570016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姜美华</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化验室副主任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检测组组长</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13465513908</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刘世英</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职工</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检测组成员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15065724576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cs="仿宋"/>
                <w:sz w:val="21"/>
                <w:szCs w:val="21"/>
              </w:rPr>
              <w:t>王明明</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安环科主任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抢救组组长</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15726457657</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孙涛</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车间主任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抢救组成员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13723963289</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谢爱田</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车间副主任</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抢救组成员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13792507756</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于建忠</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车间班长</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抢救组成员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13780937523</w:t>
            </w:r>
          </w:p>
        </w:tc>
      </w:tr>
      <w:tr>
        <w:tblPrEx>
          <w:tblLayout w:type="fixed"/>
          <w:tblCellMar>
            <w:top w:w="0" w:type="dxa"/>
            <w:left w:w="108" w:type="dxa"/>
            <w:bottom w:w="0" w:type="dxa"/>
            <w:right w:w="108" w:type="dxa"/>
          </w:tblCellMar>
        </w:tblPrEx>
        <w:trPr>
          <w:trHeight w:val="397" w:hRule="atLeast"/>
          <w:jc w:val="center"/>
        </w:trPr>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sz w:val="21"/>
                <w:szCs w:val="21"/>
              </w:rPr>
              <w:t>孙福庆</w:t>
            </w:r>
          </w:p>
        </w:tc>
        <w:tc>
          <w:tcPr>
            <w:tcW w:w="198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车间班长</w:t>
            </w:r>
          </w:p>
        </w:tc>
        <w:tc>
          <w:tcPr>
            <w:tcW w:w="2418"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抢救组成员</w:t>
            </w:r>
          </w:p>
        </w:tc>
        <w:tc>
          <w:tcPr>
            <w:tcW w:w="2175"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kern w:val="2"/>
                <w:sz w:val="21"/>
                <w:szCs w:val="21"/>
              </w:rPr>
            </w:pPr>
            <w:r>
              <w:rPr>
                <w:rFonts w:hint="eastAsia" w:ascii="仿宋" w:hAnsi="仿宋" w:eastAsia="仿宋"/>
                <w:kern w:val="2"/>
                <w:sz w:val="21"/>
                <w:szCs w:val="21"/>
              </w:rPr>
              <w:t>13697853963</w:t>
            </w:r>
          </w:p>
        </w:tc>
      </w:tr>
    </w:tbl>
    <w:p>
      <w:pPr>
        <w:snapToGrid w:val="0"/>
        <w:spacing w:line="360" w:lineRule="auto"/>
        <w:rPr>
          <w:rFonts w:ascii="仿宋_GB2312" w:hAnsi="华文细黑" w:eastAsia="仿宋_GB2312"/>
          <w:sz w:val="24"/>
          <w:szCs w:val="24"/>
        </w:rPr>
      </w:pPr>
    </w:p>
    <w:p>
      <w:pPr>
        <w:snapToGrid w:val="0"/>
        <w:spacing w:line="360" w:lineRule="auto"/>
        <w:rPr>
          <w:rFonts w:ascii="仿宋_GB2312" w:hAnsi="华文细黑" w:eastAsia="仿宋_GB2312"/>
          <w:b/>
          <w:sz w:val="24"/>
          <w:szCs w:val="24"/>
        </w:rPr>
      </w:pPr>
      <w:r>
        <w:rPr>
          <w:rFonts w:hint="eastAsia" w:ascii="仿宋_GB2312" w:hAnsi="华文细黑" w:eastAsia="仿宋_GB2312"/>
          <w:sz w:val="24"/>
          <w:szCs w:val="24"/>
        </w:rPr>
        <w:t xml:space="preserve">3）外部救援报警电话 </w:t>
      </w:r>
    </w:p>
    <w:tbl>
      <w:tblPr>
        <w:tblStyle w:val="26"/>
        <w:tblW w:w="8138" w:type="dxa"/>
        <w:jc w:val="center"/>
        <w:tblInd w:w="0" w:type="dxa"/>
        <w:tblLayout w:type="fixed"/>
        <w:tblCellMar>
          <w:top w:w="0" w:type="dxa"/>
          <w:left w:w="0" w:type="dxa"/>
          <w:bottom w:w="0" w:type="dxa"/>
          <w:right w:w="0" w:type="dxa"/>
        </w:tblCellMar>
      </w:tblPr>
      <w:tblGrid>
        <w:gridCol w:w="855"/>
        <w:gridCol w:w="4877"/>
        <w:gridCol w:w="2406"/>
      </w:tblGrid>
      <w:tr>
        <w:tblPrEx>
          <w:tblLayout w:type="fixed"/>
          <w:tblCellMar>
            <w:top w:w="0" w:type="dxa"/>
            <w:left w:w="0" w:type="dxa"/>
            <w:bottom w:w="0" w:type="dxa"/>
            <w:right w:w="0" w:type="dxa"/>
          </w:tblCellMar>
        </w:tblPrEx>
        <w:trPr>
          <w:trHeight w:val="459" w:hRule="atLeast"/>
          <w:jc w:val="center"/>
        </w:trPr>
        <w:tc>
          <w:tcPr>
            <w:tcW w:w="85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bCs/>
                <w:kern w:val="2"/>
                <w:sz w:val="21"/>
                <w:szCs w:val="21"/>
              </w:rPr>
            </w:pPr>
            <w:r>
              <w:rPr>
                <w:rFonts w:hint="eastAsia" w:ascii="仿宋" w:hAnsi="仿宋" w:eastAsia="仿宋"/>
                <w:bCs/>
                <w:kern w:val="2"/>
                <w:sz w:val="21"/>
                <w:szCs w:val="21"/>
              </w:rPr>
              <w:t>序号</w:t>
            </w:r>
          </w:p>
        </w:tc>
        <w:tc>
          <w:tcPr>
            <w:tcW w:w="487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bCs/>
                <w:kern w:val="2"/>
                <w:sz w:val="21"/>
                <w:szCs w:val="21"/>
              </w:rPr>
            </w:pPr>
            <w:r>
              <w:rPr>
                <w:rFonts w:hint="eastAsia" w:ascii="仿宋" w:hAnsi="仿宋" w:eastAsia="仿宋"/>
                <w:bCs/>
                <w:kern w:val="2"/>
                <w:sz w:val="21"/>
                <w:szCs w:val="21"/>
              </w:rPr>
              <w:t>报警单位</w:t>
            </w:r>
          </w:p>
        </w:tc>
        <w:tc>
          <w:tcPr>
            <w:tcW w:w="24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bCs/>
                <w:kern w:val="2"/>
                <w:sz w:val="21"/>
                <w:szCs w:val="21"/>
              </w:rPr>
            </w:pPr>
            <w:r>
              <w:rPr>
                <w:rFonts w:hint="eastAsia" w:ascii="仿宋" w:hAnsi="仿宋" w:eastAsia="仿宋"/>
                <w:bCs/>
                <w:kern w:val="2"/>
                <w:sz w:val="21"/>
                <w:szCs w:val="21"/>
              </w:rPr>
              <w:t>报警电话</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w:t>
            </w:r>
          </w:p>
        </w:tc>
        <w:tc>
          <w:tcPr>
            <w:tcW w:w="48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消防火警</w:t>
            </w:r>
          </w:p>
        </w:tc>
        <w:tc>
          <w:tcPr>
            <w:tcW w:w="24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119</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2</w:t>
            </w:r>
          </w:p>
        </w:tc>
        <w:tc>
          <w:tcPr>
            <w:tcW w:w="48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治安报警</w:t>
            </w:r>
          </w:p>
        </w:tc>
        <w:tc>
          <w:tcPr>
            <w:tcW w:w="24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110</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3</w:t>
            </w:r>
          </w:p>
        </w:tc>
        <w:tc>
          <w:tcPr>
            <w:tcW w:w="48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医疗急救</w:t>
            </w:r>
          </w:p>
        </w:tc>
        <w:tc>
          <w:tcPr>
            <w:tcW w:w="24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120</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4</w:t>
            </w:r>
          </w:p>
        </w:tc>
        <w:tc>
          <w:tcPr>
            <w:tcW w:w="48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交通事故</w:t>
            </w:r>
          </w:p>
        </w:tc>
        <w:tc>
          <w:tcPr>
            <w:tcW w:w="240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122</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5</w:t>
            </w:r>
          </w:p>
        </w:tc>
        <w:tc>
          <w:tcPr>
            <w:tcW w:w="48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烟台市环保局</w:t>
            </w:r>
          </w:p>
        </w:tc>
        <w:tc>
          <w:tcPr>
            <w:tcW w:w="240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0535-6920576</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6</w:t>
            </w:r>
          </w:p>
        </w:tc>
        <w:tc>
          <w:tcPr>
            <w:tcW w:w="48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蓬莱市环保局</w:t>
            </w:r>
          </w:p>
        </w:tc>
        <w:tc>
          <w:tcPr>
            <w:tcW w:w="240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0535-5642810</w:t>
            </w:r>
          </w:p>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12369</w:t>
            </w:r>
          </w:p>
        </w:tc>
      </w:tr>
      <w:tr>
        <w:tblPrEx>
          <w:tblLayout w:type="fixed"/>
          <w:tblCellMar>
            <w:top w:w="0" w:type="dxa"/>
            <w:left w:w="0" w:type="dxa"/>
            <w:bottom w:w="0" w:type="dxa"/>
            <w:right w:w="0" w:type="dxa"/>
          </w:tblCellMar>
        </w:tblPrEx>
        <w:trPr>
          <w:trHeight w:val="459" w:hRule="atLeast"/>
          <w:jc w:val="center"/>
        </w:trPr>
        <w:tc>
          <w:tcPr>
            <w:tcW w:w="85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7</w:t>
            </w:r>
          </w:p>
        </w:tc>
        <w:tc>
          <w:tcPr>
            <w:tcW w:w="48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蓬莱市监察大队</w:t>
            </w:r>
          </w:p>
        </w:tc>
        <w:tc>
          <w:tcPr>
            <w:tcW w:w="240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0535-5642810</w:t>
            </w:r>
          </w:p>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12369</w:t>
            </w:r>
          </w:p>
        </w:tc>
      </w:tr>
      <w:tr>
        <w:tblPrEx>
          <w:tblLayout w:type="fixed"/>
          <w:tblCellMar>
            <w:top w:w="0" w:type="dxa"/>
            <w:left w:w="0" w:type="dxa"/>
            <w:bottom w:w="0" w:type="dxa"/>
            <w:right w:w="0" w:type="dxa"/>
          </w:tblCellMar>
        </w:tblPrEx>
        <w:trPr>
          <w:trHeight w:val="459" w:hRule="atLeast"/>
          <w:jc w:val="center"/>
        </w:trPr>
        <w:tc>
          <w:tcPr>
            <w:tcW w:w="85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8</w:t>
            </w:r>
          </w:p>
        </w:tc>
        <w:tc>
          <w:tcPr>
            <w:tcW w:w="48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消防大队</w:t>
            </w:r>
          </w:p>
        </w:tc>
        <w:tc>
          <w:tcPr>
            <w:tcW w:w="240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0535-5635177</w:t>
            </w:r>
          </w:p>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119</w:t>
            </w:r>
          </w:p>
        </w:tc>
      </w:tr>
      <w:tr>
        <w:tblPrEx>
          <w:tblLayout w:type="fixed"/>
          <w:tblCellMar>
            <w:top w:w="0" w:type="dxa"/>
            <w:left w:w="0" w:type="dxa"/>
            <w:bottom w:w="0" w:type="dxa"/>
            <w:right w:w="0" w:type="dxa"/>
          </w:tblCellMar>
        </w:tblPrEx>
        <w:trPr>
          <w:trHeight w:val="459" w:hRule="atLeast"/>
          <w:jc w:val="center"/>
        </w:trPr>
        <w:tc>
          <w:tcPr>
            <w:tcW w:w="85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9</w:t>
            </w:r>
          </w:p>
        </w:tc>
        <w:tc>
          <w:tcPr>
            <w:tcW w:w="48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化工园区应急办公室</w:t>
            </w:r>
          </w:p>
        </w:tc>
        <w:tc>
          <w:tcPr>
            <w:tcW w:w="240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cs="仿宋"/>
                <w:kern w:val="2"/>
                <w:sz w:val="21"/>
                <w:szCs w:val="21"/>
              </w:rPr>
            </w:pPr>
            <w:r>
              <w:rPr>
                <w:rFonts w:hint="eastAsia" w:ascii="仿宋" w:hAnsi="仿宋" w:eastAsia="仿宋" w:cs="仿宋"/>
                <w:kern w:val="2"/>
                <w:sz w:val="21"/>
                <w:szCs w:val="21"/>
              </w:rPr>
              <w:t>0535-5912457</w:t>
            </w:r>
          </w:p>
        </w:tc>
      </w:tr>
      <w:tr>
        <w:tblPrEx>
          <w:tblLayout w:type="fixed"/>
          <w:tblCellMar>
            <w:top w:w="0" w:type="dxa"/>
            <w:left w:w="0" w:type="dxa"/>
            <w:bottom w:w="0" w:type="dxa"/>
            <w:right w:w="0" w:type="dxa"/>
          </w:tblCellMar>
        </w:tblPrEx>
        <w:trPr>
          <w:trHeight w:val="459" w:hRule="atLeast"/>
          <w:jc w:val="center"/>
        </w:trPr>
        <w:tc>
          <w:tcPr>
            <w:tcW w:w="85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10</w:t>
            </w:r>
          </w:p>
        </w:tc>
        <w:tc>
          <w:tcPr>
            <w:tcW w:w="48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北沟镇政府</w:t>
            </w:r>
          </w:p>
        </w:tc>
        <w:tc>
          <w:tcPr>
            <w:tcW w:w="240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cs="仿宋"/>
                <w:kern w:val="2"/>
                <w:sz w:val="21"/>
                <w:szCs w:val="21"/>
              </w:rPr>
            </w:pPr>
            <w:r>
              <w:rPr>
                <w:rFonts w:hint="eastAsia" w:ascii="仿宋" w:hAnsi="仿宋" w:eastAsia="仿宋" w:cs="仿宋"/>
                <w:color w:val="000000"/>
                <w:kern w:val="2"/>
                <w:sz w:val="21"/>
                <w:szCs w:val="21"/>
              </w:rPr>
              <w:t>0535-5911209</w:t>
            </w:r>
          </w:p>
        </w:tc>
      </w:tr>
      <w:tr>
        <w:tblPrEx>
          <w:tblLayout w:type="fixed"/>
          <w:tblCellMar>
            <w:top w:w="0" w:type="dxa"/>
            <w:left w:w="0" w:type="dxa"/>
            <w:bottom w:w="0" w:type="dxa"/>
            <w:right w:w="0" w:type="dxa"/>
          </w:tblCellMar>
        </w:tblPrEx>
        <w:trPr>
          <w:trHeight w:val="459" w:hRule="atLeast"/>
          <w:jc w:val="center"/>
        </w:trPr>
        <w:tc>
          <w:tcPr>
            <w:tcW w:w="85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11</w:t>
            </w:r>
          </w:p>
        </w:tc>
        <w:tc>
          <w:tcPr>
            <w:tcW w:w="48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kern w:val="2"/>
                <w:sz w:val="21"/>
                <w:szCs w:val="21"/>
              </w:rPr>
            </w:pPr>
            <w:r>
              <w:rPr>
                <w:rFonts w:hint="eastAsia" w:ascii="仿宋" w:hAnsi="仿宋" w:eastAsia="仿宋"/>
                <w:kern w:val="2"/>
                <w:sz w:val="21"/>
                <w:szCs w:val="21"/>
              </w:rPr>
              <w:t>蓬莱市人民医院</w:t>
            </w:r>
          </w:p>
        </w:tc>
        <w:tc>
          <w:tcPr>
            <w:tcW w:w="240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仿宋" w:hAnsi="仿宋" w:eastAsia="仿宋" w:cs="仿宋"/>
                <w:kern w:val="2"/>
                <w:sz w:val="21"/>
                <w:szCs w:val="21"/>
              </w:rPr>
            </w:pPr>
            <w:r>
              <w:rPr>
                <w:rFonts w:hint="eastAsia" w:ascii="仿宋" w:hAnsi="仿宋" w:eastAsia="仿宋" w:cs="仿宋"/>
                <w:color w:val="3B3B3B"/>
                <w:kern w:val="2"/>
                <w:sz w:val="21"/>
                <w:szCs w:val="21"/>
                <w:shd w:val="clear" w:color="auto" w:fill="FFFFFF"/>
              </w:rPr>
              <w:t>0535-5642036</w:t>
            </w:r>
          </w:p>
        </w:tc>
      </w:tr>
    </w:tbl>
    <w:p>
      <w:pPr>
        <w:snapToGrid w:val="0"/>
        <w:spacing w:line="360" w:lineRule="auto"/>
        <w:jc w:val="left"/>
        <w:rPr>
          <w:rFonts w:ascii="仿宋_GB2312" w:hAnsi="华文细黑" w:eastAsia="仿宋_GB2312"/>
          <w:sz w:val="24"/>
          <w:szCs w:val="24"/>
        </w:rPr>
      </w:pPr>
      <w:r>
        <w:rPr>
          <w:rFonts w:hint="eastAsia" w:ascii="仿宋_GB2312" w:hAnsi="华文细黑" w:eastAsia="仿宋_GB2312"/>
          <w:sz w:val="24"/>
          <w:szCs w:val="24"/>
        </w:rPr>
        <w:t>4）周边单位联络电话</w:t>
      </w:r>
    </w:p>
    <w:tbl>
      <w:tblPr>
        <w:tblStyle w:val="26"/>
        <w:tblpPr w:leftFromText="180" w:rightFromText="180" w:vertAnchor="text" w:horzAnchor="margin" w:tblpXSpec="center" w:tblpY="185"/>
        <w:tblW w:w="8162" w:type="dxa"/>
        <w:jc w:val="center"/>
        <w:tblInd w:w="0" w:type="dxa"/>
        <w:tblLayout w:type="fixed"/>
        <w:tblCellMar>
          <w:top w:w="0" w:type="dxa"/>
          <w:left w:w="108" w:type="dxa"/>
          <w:bottom w:w="0" w:type="dxa"/>
          <w:right w:w="108" w:type="dxa"/>
        </w:tblCellMar>
      </w:tblPr>
      <w:tblGrid>
        <w:gridCol w:w="1158"/>
        <w:gridCol w:w="4347"/>
        <w:gridCol w:w="2657"/>
      </w:tblGrid>
      <w:tr>
        <w:tblPrEx>
          <w:tblLayout w:type="fixed"/>
          <w:tblCellMar>
            <w:top w:w="0" w:type="dxa"/>
            <w:left w:w="108" w:type="dxa"/>
            <w:bottom w:w="0" w:type="dxa"/>
            <w:right w:w="108" w:type="dxa"/>
          </w:tblCellMar>
        </w:tblPrEx>
        <w:trPr>
          <w:trHeight w:val="567" w:hRule="atLeast"/>
          <w:jc w:val="center"/>
        </w:trPr>
        <w:tc>
          <w:tcPr>
            <w:tcW w:w="115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bCs/>
                <w:kern w:val="2"/>
                <w:sz w:val="21"/>
                <w:szCs w:val="21"/>
                <w:lang w:val="en-GB"/>
              </w:rPr>
            </w:pPr>
            <w:bookmarkStart w:id="222" w:name="_Toc410289829"/>
            <w:bookmarkStart w:id="223" w:name="_Toc404851285"/>
            <w:r>
              <w:rPr>
                <w:rFonts w:hint="eastAsia" w:ascii="仿宋" w:hAnsi="仿宋" w:eastAsia="仿宋" w:cs="宋体"/>
                <w:bCs/>
                <w:kern w:val="2"/>
                <w:sz w:val="21"/>
                <w:szCs w:val="21"/>
                <w:lang w:val="en-GB"/>
              </w:rPr>
              <w:t>序号</w:t>
            </w:r>
          </w:p>
        </w:tc>
        <w:tc>
          <w:tcPr>
            <w:tcW w:w="4347"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bCs/>
                <w:kern w:val="2"/>
                <w:sz w:val="21"/>
                <w:szCs w:val="21"/>
                <w:lang w:val="en-GB"/>
              </w:rPr>
            </w:pPr>
            <w:r>
              <w:rPr>
                <w:rFonts w:hint="eastAsia" w:ascii="仿宋" w:hAnsi="仿宋" w:eastAsia="仿宋" w:cs="宋体"/>
                <w:bCs/>
                <w:kern w:val="2"/>
                <w:sz w:val="21"/>
                <w:szCs w:val="21"/>
                <w:lang w:val="en-GB"/>
              </w:rPr>
              <w:t>周边单位名称</w:t>
            </w:r>
          </w:p>
        </w:tc>
        <w:tc>
          <w:tcPr>
            <w:tcW w:w="2657" w:type="dxa"/>
            <w:tcBorders>
              <w:top w:val="single" w:color="auto" w:sz="4" w:space="0"/>
              <w:left w:val="nil"/>
              <w:bottom w:val="single" w:color="auto" w:sz="4" w:space="0"/>
              <w:right w:val="single" w:color="auto" w:sz="4" w:space="0"/>
            </w:tcBorders>
            <w:vAlign w:val="center"/>
          </w:tcPr>
          <w:p>
            <w:pPr>
              <w:widowControl/>
              <w:snapToGrid w:val="0"/>
              <w:spacing w:line="360" w:lineRule="auto"/>
              <w:jc w:val="center"/>
              <w:rPr>
                <w:rFonts w:ascii="仿宋" w:hAnsi="仿宋" w:eastAsia="仿宋" w:cs="Calibri"/>
                <w:bCs/>
                <w:kern w:val="2"/>
                <w:sz w:val="21"/>
                <w:szCs w:val="21"/>
                <w:lang w:val="en-GB"/>
              </w:rPr>
            </w:pPr>
            <w:r>
              <w:rPr>
                <w:rFonts w:hint="eastAsia" w:ascii="仿宋" w:hAnsi="仿宋" w:eastAsia="仿宋" w:cs="宋体"/>
                <w:bCs/>
                <w:kern w:val="2"/>
                <w:sz w:val="21"/>
                <w:szCs w:val="21"/>
                <w:lang w:val="en-GB"/>
              </w:rPr>
              <w:t>联系方式</w:t>
            </w:r>
          </w:p>
        </w:tc>
      </w:tr>
      <w:tr>
        <w:tblPrEx>
          <w:tblLayout w:type="fixed"/>
          <w:tblCellMar>
            <w:top w:w="0" w:type="dxa"/>
            <w:left w:w="108" w:type="dxa"/>
            <w:bottom w:w="0" w:type="dxa"/>
            <w:right w:w="108" w:type="dxa"/>
          </w:tblCellMar>
        </w:tblPrEx>
        <w:trPr>
          <w:trHeight w:val="567" w:hRule="atLeast"/>
          <w:jc w:val="center"/>
        </w:trPr>
        <w:tc>
          <w:tcPr>
            <w:tcW w:w="1158" w:type="dxa"/>
            <w:tcBorders>
              <w:top w:val="nil"/>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lang w:val="en-GB"/>
              </w:rPr>
            </w:pPr>
            <w:r>
              <w:rPr>
                <w:rFonts w:hint="eastAsia" w:ascii="仿宋" w:hAnsi="仿宋" w:eastAsia="仿宋" w:cs="Calibri"/>
                <w:kern w:val="2"/>
                <w:sz w:val="21"/>
                <w:szCs w:val="21"/>
                <w:lang w:val="en-GB"/>
              </w:rPr>
              <w:t>1</w:t>
            </w:r>
          </w:p>
        </w:tc>
        <w:tc>
          <w:tcPr>
            <w:tcW w:w="4347" w:type="dxa"/>
            <w:tcBorders>
              <w:top w:val="nil"/>
              <w:left w:val="single" w:color="auto" w:sz="4" w:space="0"/>
              <w:bottom w:val="single" w:color="auto" w:sz="4" w:space="0"/>
              <w:right w:val="single" w:color="auto" w:sz="4" w:space="0"/>
            </w:tcBorders>
            <w:vAlign w:val="center"/>
          </w:tcPr>
          <w:p>
            <w:pPr>
              <w:snapToGrid w:val="0"/>
              <w:spacing w:line="360" w:lineRule="auto"/>
              <w:jc w:val="center"/>
              <w:rPr>
                <w:rFonts w:ascii="仿宋_GB2312" w:hAnsi="华文细黑" w:eastAsia="仿宋_GB2312"/>
                <w:kern w:val="2"/>
                <w:sz w:val="21"/>
                <w:szCs w:val="21"/>
              </w:rPr>
            </w:pPr>
            <w:r>
              <w:rPr>
                <w:rFonts w:hint="eastAsia" w:ascii="仿宋_GB2312" w:hAnsi="华文细黑" w:eastAsia="仿宋_GB2312"/>
                <w:kern w:val="2"/>
                <w:sz w:val="21"/>
                <w:szCs w:val="21"/>
              </w:rPr>
              <w:t>蓬莱新光颜料化工有限公司</w:t>
            </w:r>
          </w:p>
        </w:tc>
        <w:tc>
          <w:tcPr>
            <w:tcW w:w="2657" w:type="dxa"/>
            <w:tcBorders>
              <w:top w:val="nil"/>
              <w:left w:val="nil"/>
              <w:bottom w:val="single" w:color="auto" w:sz="4" w:space="0"/>
              <w:right w:val="single" w:color="auto" w:sz="4" w:space="0"/>
            </w:tcBorders>
            <w:vAlign w:val="center"/>
          </w:tcPr>
          <w:p>
            <w:pPr>
              <w:widowControl/>
              <w:snapToGrid w:val="0"/>
              <w:spacing w:line="360" w:lineRule="auto"/>
              <w:jc w:val="center"/>
              <w:rPr>
                <w:rFonts w:ascii="仿宋_GB2312" w:hAnsi="华文细黑" w:eastAsia="仿宋_GB2312" w:cs="Calibri"/>
                <w:kern w:val="2"/>
                <w:sz w:val="21"/>
                <w:szCs w:val="21"/>
              </w:rPr>
            </w:pPr>
            <w:r>
              <w:rPr>
                <w:rFonts w:hint="eastAsia" w:ascii="仿宋_GB2312" w:hAnsi="华文细黑" w:eastAsia="仿宋_GB2312"/>
                <w:kern w:val="2"/>
                <w:sz w:val="21"/>
                <w:szCs w:val="21"/>
              </w:rPr>
              <w:t>0535-3455797</w:t>
            </w:r>
          </w:p>
        </w:tc>
      </w:tr>
      <w:tr>
        <w:tblPrEx>
          <w:tblLayout w:type="fixed"/>
          <w:tblCellMar>
            <w:top w:w="0" w:type="dxa"/>
            <w:left w:w="108" w:type="dxa"/>
            <w:bottom w:w="0" w:type="dxa"/>
            <w:right w:w="108" w:type="dxa"/>
          </w:tblCellMar>
        </w:tblPrEx>
        <w:trPr>
          <w:trHeight w:val="567" w:hRule="atLeast"/>
          <w:jc w:val="center"/>
        </w:trPr>
        <w:tc>
          <w:tcPr>
            <w:tcW w:w="1158" w:type="dxa"/>
            <w:tcBorders>
              <w:top w:val="nil"/>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lang w:val="en-GB"/>
              </w:rPr>
            </w:pPr>
            <w:r>
              <w:rPr>
                <w:rFonts w:hint="eastAsia" w:ascii="仿宋" w:hAnsi="仿宋" w:eastAsia="仿宋" w:cs="Calibri"/>
                <w:kern w:val="2"/>
                <w:sz w:val="21"/>
                <w:szCs w:val="21"/>
                <w:lang w:val="en-GB"/>
              </w:rPr>
              <w:t>2</w:t>
            </w:r>
          </w:p>
        </w:tc>
        <w:tc>
          <w:tcPr>
            <w:tcW w:w="4347" w:type="dxa"/>
            <w:tcBorders>
              <w:top w:val="nil"/>
              <w:left w:val="single" w:color="auto" w:sz="4" w:space="0"/>
              <w:bottom w:val="single" w:color="auto" w:sz="4" w:space="0"/>
              <w:right w:val="single" w:color="auto" w:sz="4" w:space="0"/>
            </w:tcBorders>
            <w:vAlign w:val="center"/>
          </w:tcPr>
          <w:p>
            <w:pPr>
              <w:snapToGrid w:val="0"/>
              <w:spacing w:line="360" w:lineRule="auto"/>
              <w:jc w:val="center"/>
              <w:rPr>
                <w:rFonts w:ascii="仿宋_GB2312" w:hAnsi="华文细黑" w:eastAsia="仿宋_GB2312"/>
                <w:kern w:val="2"/>
                <w:sz w:val="21"/>
                <w:szCs w:val="21"/>
              </w:rPr>
            </w:pPr>
            <w:r>
              <w:rPr>
                <w:rFonts w:hint="eastAsia" w:ascii="仿宋_GB2312" w:hAnsi="华文细黑" w:eastAsia="仿宋_GB2312"/>
                <w:kern w:val="2"/>
                <w:sz w:val="21"/>
                <w:szCs w:val="21"/>
              </w:rPr>
              <w:t>蓬莱康爱特化工有限公司</w:t>
            </w:r>
          </w:p>
        </w:tc>
        <w:tc>
          <w:tcPr>
            <w:tcW w:w="2657" w:type="dxa"/>
            <w:tcBorders>
              <w:top w:val="nil"/>
              <w:left w:val="nil"/>
              <w:bottom w:val="single" w:color="auto" w:sz="4" w:space="0"/>
              <w:right w:val="single" w:color="auto" w:sz="4" w:space="0"/>
            </w:tcBorders>
            <w:vAlign w:val="center"/>
          </w:tcPr>
          <w:p>
            <w:pPr>
              <w:widowControl/>
              <w:snapToGrid w:val="0"/>
              <w:spacing w:line="360" w:lineRule="auto"/>
              <w:jc w:val="center"/>
              <w:rPr>
                <w:rFonts w:ascii="仿宋_GB2312" w:hAnsi="华文细黑" w:eastAsia="仿宋_GB2312"/>
                <w:kern w:val="2"/>
                <w:sz w:val="21"/>
                <w:szCs w:val="21"/>
              </w:rPr>
            </w:pPr>
            <w:r>
              <w:rPr>
                <w:rFonts w:hint="eastAsia" w:ascii="仿宋_GB2312" w:hAnsi="华文细黑" w:eastAsia="仿宋_GB2312"/>
                <w:kern w:val="2"/>
                <w:sz w:val="21"/>
                <w:szCs w:val="21"/>
              </w:rPr>
              <w:t>0535-5616099</w:t>
            </w:r>
          </w:p>
        </w:tc>
      </w:tr>
      <w:tr>
        <w:tblPrEx>
          <w:tblLayout w:type="fixed"/>
          <w:tblCellMar>
            <w:top w:w="0" w:type="dxa"/>
            <w:left w:w="108" w:type="dxa"/>
            <w:bottom w:w="0" w:type="dxa"/>
            <w:right w:w="108" w:type="dxa"/>
          </w:tblCellMar>
        </w:tblPrEx>
        <w:trPr>
          <w:trHeight w:val="567" w:hRule="atLeast"/>
          <w:jc w:val="center"/>
        </w:trPr>
        <w:tc>
          <w:tcPr>
            <w:tcW w:w="1158" w:type="dxa"/>
            <w:tcBorders>
              <w:top w:val="nil"/>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rPr>
            </w:pPr>
            <w:r>
              <w:rPr>
                <w:rFonts w:hint="eastAsia" w:ascii="仿宋" w:hAnsi="仿宋" w:eastAsia="仿宋" w:cs="Calibri"/>
                <w:kern w:val="2"/>
                <w:sz w:val="21"/>
                <w:szCs w:val="21"/>
              </w:rPr>
              <w:t>3</w:t>
            </w:r>
          </w:p>
        </w:tc>
        <w:tc>
          <w:tcPr>
            <w:tcW w:w="4347" w:type="dxa"/>
            <w:tcBorders>
              <w:top w:val="nil"/>
              <w:left w:val="single" w:color="auto" w:sz="4" w:space="0"/>
              <w:bottom w:val="single" w:color="auto" w:sz="4" w:space="0"/>
              <w:right w:val="single" w:color="auto" w:sz="4" w:space="0"/>
            </w:tcBorders>
            <w:vAlign w:val="center"/>
          </w:tcPr>
          <w:p>
            <w:pPr>
              <w:snapToGrid w:val="0"/>
              <w:spacing w:line="360" w:lineRule="auto"/>
              <w:jc w:val="center"/>
              <w:rPr>
                <w:rFonts w:ascii="仿宋_GB2312" w:hAnsi="华文细黑" w:eastAsia="仿宋_GB2312"/>
                <w:kern w:val="2"/>
                <w:sz w:val="21"/>
                <w:szCs w:val="21"/>
              </w:rPr>
            </w:pPr>
            <w:r>
              <w:rPr>
                <w:rFonts w:hint="eastAsia" w:ascii="仿宋_GB2312" w:hAnsi="华文细黑" w:eastAsia="仿宋_GB2312"/>
                <w:kern w:val="2"/>
                <w:sz w:val="21"/>
                <w:szCs w:val="21"/>
              </w:rPr>
              <w:t>蓬莱嘉信染料化工股份有限公司</w:t>
            </w:r>
          </w:p>
        </w:tc>
        <w:tc>
          <w:tcPr>
            <w:tcW w:w="2657" w:type="dxa"/>
            <w:tcBorders>
              <w:top w:val="nil"/>
              <w:left w:val="nil"/>
              <w:bottom w:val="single" w:color="auto" w:sz="4" w:space="0"/>
              <w:right w:val="single" w:color="auto" w:sz="4" w:space="0"/>
            </w:tcBorders>
            <w:vAlign w:val="center"/>
          </w:tcPr>
          <w:p>
            <w:pPr>
              <w:widowControl/>
              <w:snapToGrid w:val="0"/>
              <w:spacing w:line="360" w:lineRule="auto"/>
              <w:jc w:val="center"/>
              <w:rPr>
                <w:rFonts w:ascii="仿宋_GB2312" w:hAnsi="华文细黑" w:eastAsia="仿宋_GB2312"/>
                <w:kern w:val="2"/>
                <w:sz w:val="21"/>
                <w:szCs w:val="21"/>
              </w:rPr>
            </w:pPr>
            <w:r>
              <w:rPr>
                <w:rFonts w:hint="eastAsia" w:ascii="仿宋_GB2312" w:hAnsi="华文细黑" w:eastAsia="仿宋_GB2312"/>
                <w:kern w:val="2"/>
                <w:sz w:val="21"/>
                <w:szCs w:val="21"/>
              </w:rPr>
              <w:t>0535-5823078</w:t>
            </w:r>
          </w:p>
        </w:tc>
      </w:tr>
      <w:tr>
        <w:tblPrEx>
          <w:tblLayout w:type="fixed"/>
          <w:tblCellMar>
            <w:top w:w="0" w:type="dxa"/>
            <w:left w:w="108" w:type="dxa"/>
            <w:bottom w:w="0" w:type="dxa"/>
            <w:right w:w="108" w:type="dxa"/>
          </w:tblCellMar>
        </w:tblPrEx>
        <w:trPr>
          <w:trHeight w:val="567" w:hRule="atLeast"/>
          <w:jc w:val="center"/>
        </w:trPr>
        <w:tc>
          <w:tcPr>
            <w:tcW w:w="1158" w:type="dxa"/>
            <w:tcBorders>
              <w:top w:val="nil"/>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lang w:val="en-GB"/>
              </w:rPr>
            </w:pPr>
            <w:r>
              <w:rPr>
                <w:rFonts w:hint="eastAsia" w:ascii="仿宋" w:hAnsi="仿宋" w:eastAsia="仿宋" w:cs="Calibri"/>
                <w:kern w:val="2"/>
                <w:sz w:val="21"/>
                <w:szCs w:val="21"/>
                <w:lang w:val="en-GB"/>
              </w:rPr>
              <w:t>4</w:t>
            </w:r>
          </w:p>
        </w:tc>
        <w:tc>
          <w:tcPr>
            <w:tcW w:w="4347" w:type="dxa"/>
            <w:tcBorders>
              <w:top w:val="nil"/>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kern w:val="2"/>
                <w:sz w:val="21"/>
                <w:szCs w:val="21"/>
              </w:rPr>
            </w:pPr>
            <w:r>
              <w:rPr>
                <w:rFonts w:hint="eastAsia" w:ascii="仿宋_GB2312" w:hAnsi="华文细黑" w:eastAsia="仿宋_GB2312"/>
                <w:kern w:val="2"/>
                <w:sz w:val="21"/>
                <w:szCs w:val="21"/>
              </w:rPr>
              <w:t>烟台丽峰精细化工有限公司</w:t>
            </w:r>
          </w:p>
        </w:tc>
        <w:tc>
          <w:tcPr>
            <w:tcW w:w="2657" w:type="dxa"/>
            <w:tcBorders>
              <w:top w:val="nil"/>
              <w:left w:val="nil"/>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rPr>
            </w:pPr>
            <w:r>
              <w:rPr>
                <w:rFonts w:hint="eastAsia"/>
                <w:color w:val="333333"/>
                <w:kern w:val="2"/>
                <w:sz w:val="21"/>
                <w:szCs w:val="21"/>
                <w:shd w:val="clear" w:color="auto" w:fill="FFFFFF"/>
              </w:rPr>
              <w:t>13863807151</w:t>
            </w:r>
          </w:p>
        </w:tc>
      </w:tr>
      <w:tr>
        <w:tblPrEx>
          <w:tblLayout w:type="fixed"/>
          <w:tblCellMar>
            <w:top w:w="0" w:type="dxa"/>
            <w:left w:w="108" w:type="dxa"/>
            <w:bottom w:w="0" w:type="dxa"/>
            <w:right w:w="108" w:type="dxa"/>
          </w:tblCellMar>
        </w:tblPrEx>
        <w:trPr>
          <w:trHeight w:val="567" w:hRule="atLeast"/>
          <w:jc w:val="center"/>
        </w:trPr>
        <w:tc>
          <w:tcPr>
            <w:tcW w:w="1158" w:type="dxa"/>
            <w:tcBorders>
              <w:top w:val="nil"/>
              <w:left w:val="single" w:color="auto" w:sz="4" w:space="0"/>
              <w:bottom w:val="single" w:color="auto" w:sz="4" w:space="0"/>
              <w:right w:val="single" w:color="auto" w:sz="4" w:space="0"/>
            </w:tcBorders>
            <w:vAlign w:val="center"/>
          </w:tcPr>
          <w:p>
            <w:pPr>
              <w:widowControl/>
              <w:snapToGrid w:val="0"/>
              <w:spacing w:line="360" w:lineRule="auto"/>
              <w:jc w:val="center"/>
              <w:rPr>
                <w:rFonts w:ascii="仿宋" w:hAnsi="仿宋" w:eastAsia="仿宋" w:cs="Calibri"/>
                <w:kern w:val="2"/>
                <w:sz w:val="21"/>
                <w:szCs w:val="21"/>
              </w:rPr>
            </w:pPr>
            <w:r>
              <w:rPr>
                <w:rFonts w:hint="eastAsia" w:ascii="仿宋" w:hAnsi="仿宋" w:eastAsia="仿宋" w:cs="Calibri"/>
                <w:kern w:val="2"/>
                <w:sz w:val="21"/>
                <w:szCs w:val="21"/>
              </w:rPr>
              <w:t>5</w:t>
            </w:r>
          </w:p>
        </w:tc>
        <w:tc>
          <w:tcPr>
            <w:tcW w:w="4347" w:type="dxa"/>
            <w:tcBorders>
              <w:top w:val="nil"/>
              <w:left w:val="single" w:color="auto" w:sz="4" w:space="0"/>
              <w:bottom w:val="single" w:color="auto" w:sz="4" w:space="0"/>
              <w:right w:val="single" w:color="auto" w:sz="4" w:space="0"/>
            </w:tcBorders>
            <w:vAlign w:val="center"/>
          </w:tcPr>
          <w:p>
            <w:pPr>
              <w:jc w:val="center"/>
              <w:rPr>
                <w:rFonts w:ascii="仿宋" w:hAnsi="仿宋" w:eastAsia="仿宋"/>
                <w:kern w:val="2"/>
                <w:sz w:val="21"/>
                <w:szCs w:val="21"/>
              </w:rPr>
            </w:pPr>
            <w:r>
              <w:rPr>
                <w:rFonts w:hint="eastAsia" w:ascii="仿宋_GB2312" w:hAnsi="宋体" w:eastAsia="仿宋_GB2312" w:cs="宋体"/>
                <w:kern w:val="2"/>
                <w:sz w:val="21"/>
                <w:szCs w:val="21"/>
              </w:rPr>
              <w:t>蓬莱海润化学固废处置有限公司</w:t>
            </w:r>
          </w:p>
        </w:tc>
        <w:tc>
          <w:tcPr>
            <w:tcW w:w="2657" w:type="dxa"/>
            <w:tcBorders>
              <w:top w:val="nil"/>
              <w:left w:val="nil"/>
              <w:bottom w:val="single" w:color="auto" w:sz="4" w:space="0"/>
              <w:right w:val="single" w:color="auto" w:sz="4" w:space="0"/>
            </w:tcBorders>
            <w:vAlign w:val="center"/>
          </w:tcPr>
          <w:p>
            <w:pPr>
              <w:jc w:val="center"/>
              <w:rPr>
                <w:rFonts w:ascii="仿宋" w:hAnsi="仿宋" w:eastAsia="仿宋" w:cs="Calibri"/>
                <w:kern w:val="2"/>
                <w:sz w:val="21"/>
                <w:szCs w:val="21"/>
                <w:lang w:val="en-GB"/>
              </w:rPr>
            </w:pPr>
            <w:r>
              <w:rPr>
                <w:rFonts w:hint="eastAsia" w:ascii="仿宋_GB2312" w:hAnsi="宋体" w:eastAsia="仿宋_GB2312" w:cs="宋体"/>
                <w:kern w:val="2"/>
                <w:sz w:val="21"/>
                <w:szCs w:val="21"/>
              </w:rPr>
              <w:t>0535-</w:t>
            </w:r>
            <w:r>
              <w:rPr>
                <w:rFonts w:ascii="仿宋_GB2312" w:hAnsi="宋体" w:eastAsia="仿宋_GB2312" w:cs="宋体"/>
                <w:kern w:val="2"/>
                <w:sz w:val="21"/>
                <w:szCs w:val="21"/>
              </w:rPr>
              <w:t>5823030</w:t>
            </w:r>
          </w:p>
        </w:tc>
      </w:tr>
    </w:tbl>
    <w:p>
      <w:pPr>
        <w:snapToGrid w:val="0"/>
        <w:spacing w:line="360" w:lineRule="auto"/>
        <w:rPr>
          <w:rFonts w:ascii="仿宋_GB2312" w:hAnsi="华文细黑" w:eastAsia="仿宋_GB2312"/>
          <w:sz w:val="24"/>
          <w:szCs w:val="24"/>
        </w:rPr>
      </w:pPr>
      <w:r>
        <w:rPr>
          <w:rFonts w:hint="eastAsia" w:ascii="仿宋_GB2312" w:hAnsi="华文细黑" w:eastAsia="仿宋_GB2312"/>
          <w:sz w:val="24"/>
          <w:szCs w:val="24"/>
        </w:rPr>
        <w:br w:type="page"/>
      </w:r>
    </w:p>
    <w:p>
      <w:pPr>
        <w:snapToGrid w:val="0"/>
        <w:spacing w:line="360" w:lineRule="auto"/>
        <w:rPr>
          <w:rFonts w:ascii="仿宋_GB2312" w:hAnsi="华文细黑" w:eastAsia="仿宋_GB2312"/>
          <w:sz w:val="24"/>
          <w:szCs w:val="24"/>
        </w:rPr>
      </w:pPr>
      <w:r>
        <w:rPr>
          <w:rFonts w:hint="eastAsia" w:ascii="仿宋_GB2312" w:hAnsi="华文细黑" w:eastAsia="仿宋_GB2312"/>
          <w:sz w:val="24"/>
          <w:szCs w:val="24"/>
        </w:rPr>
        <w:t>附表6：应急物资装备的清单</w:t>
      </w:r>
      <w:bookmarkEnd w:id="222"/>
      <w:bookmarkEnd w:id="223"/>
    </w:p>
    <w:p>
      <w:pPr>
        <w:autoSpaceDN w:val="0"/>
        <w:snapToGrid w:val="0"/>
        <w:spacing w:line="360" w:lineRule="auto"/>
        <w:jc w:val="center"/>
        <w:rPr>
          <w:rFonts w:ascii="仿宋_GB2312" w:eastAsia="仿宋_GB2312"/>
          <w:b/>
          <w:bCs/>
          <w:sz w:val="24"/>
          <w:szCs w:val="24"/>
        </w:rPr>
      </w:pPr>
      <w:r>
        <w:rPr>
          <w:rFonts w:hint="eastAsia" w:ascii="仿宋_GB2312" w:eastAsia="仿宋_GB2312"/>
          <w:b/>
          <w:bCs/>
          <w:sz w:val="24"/>
          <w:szCs w:val="24"/>
        </w:rPr>
        <w:t>应急物资清单</w:t>
      </w:r>
    </w:p>
    <w:tbl>
      <w:tblPr>
        <w:tblStyle w:val="26"/>
        <w:tblW w:w="8911" w:type="dxa"/>
        <w:jc w:val="center"/>
        <w:tblInd w:w="32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069"/>
        <w:gridCol w:w="1837"/>
        <w:gridCol w:w="1462"/>
        <w:gridCol w:w="254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18" w:hRule="atLeast"/>
          <w:jc w:val="center"/>
        </w:trPr>
        <w:tc>
          <w:tcPr>
            <w:tcW w:w="3069" w:type="dxa"/>
            <w:vAlign w:val="center"/>
          </w:tcPr>
          <w:p>
            <w:pPr>
              <w:snapToGrid w:val="0"/>
              <w:spacing w:line="360" w:lineRule="exact"/>
              <w:jc w:val="center"/>
              <w:rPr>
                <w:rFonts w:ascii="仿宋" w:hAnsi="仿宋" w:eastAsia="仿宋" w:cs="仿宋"/>
                <w:b/>
                <w:bCs/>
                <w:kern w:val="2"/>
                <w:sz w:val="21"/>
                <w:szCs w:val="21"/>
              </w:rPr>
            </w:pPr>
            <w:bookmarkStart w:id="224" w:name="_Toc410289830"/>
            <w:bookmarkStart w:id="225" w:name="_Toc404851286"/>
            <w:r>
              <w:rPr>
                <w:rFonts w:hint="eastAsia" w:ascii="仿宋" w:hAnsi="仿宋" w:eastAsia="仿宋" w:cs="仿宋"/>
                <w:b/>
                <w:bCs/>
                <w:kern w:val="2"/>
                <w:sz w:val="21"/>
                <w:szCs w:val="21"/>
              </w:rPr>
              <w:t>项目</w:t>
            </w:r>
          </w:p>
        </w:tc>
        <w:tc>
          <w:tcPr>
            <w:tcW w:w="1837" w:type="dxa"/>
            <w:vAlign w:val="center"/>
          </w:tcPr>
          <w:p>
            <w:pPr>
              <w:snapToGrid w:val="0"/>
              <w:spacing w:line="360" w:lineRule="exact"/>
              <w:jc w:val="center"/>
              <w:rPr>
                <w:rFonts w:ascii="仿宋" w:hAnsi="仿宋" w:eastAsia="仿宋" w:cs="仿宋"/>
                <w:b/>
                <w:bCs/>
                <w:kern w:val="2"/>
                <w:sz w:val="21"/>
                <w:szCs w:val="21"/>
              </w:rPr>
            </w:pPr>
            <w:r>
              <w:rPr>
                <w:rFonts w:hint="eastAsia" w:ascii="仿宋" w:hAnsi="仿宋" w:eastAsia="仿宋" w:cs="仿宋"/>
                <w:b/>
                <w:bCs/>
                <w:kern w:val="2"/>
                <w:sz w:val="21"/>
                <w:szCs w:val="21"/>
              </w:rPr>
              <w:t>名称、型号</w:t>
            </w:r>
          </w:p>
        </w:tc>
        <w:tc>
          <w:tcPr>
            <w:tcW w:w="1462" w:type="dxa"/>
            <w:vAlign w:val="center"/>
          </w:tcPr>
          <w:p>
            <w:pPr>
              <w:snapToGrid w:val="0"/>
              <w:spacing w:line="360" w:lineRule="exact"/>
              <w:jc w:val="center"/>
              <w:rPr>
                <w:rFonts w:ascii="仿宋" w:hAnsi="仿宋" w:eastAsia="仿宋" w:cs="仿宋"/>
                <w:b/>
                <w:bCs/>
                <w:kern w:val="2"/>
                <w:sz w:val="21"/>
                <w:szCs w:val="21"/>
              </w:rPr>
            </w:pPr>
            <w:r>
              <w:rPr>
                <w:rFonts w:hint="eastAsia" w:ascii="仿宋" w:hAnsi="仿宋" w:eastAsia="仿宋" w:cs="仿宋"/>
                <w:b/>
                <w:bCs/>
                <w:kern w:val="2"/>
                <w:sz w:val="21"/>
                <w:szCs w:val="21"/>
              </w:rPr>
              <w:t>数量</w:t>
            </w:r>
          </w:p>
        </w:tc>
        <w:tc>
          <w:tcPr>
            <w:tcW w:w="2543" w:type="dxa"/>
            <w:vAlign w:val="center"/>
          </w:tcPr>
          <w:p>
            <w:pPr>
              <w:snapToGrid w:val="0"/>
              <w:spacing w:line="360" w:lineRule="exact"/>
              <w:jc w:val="center"/>
              <w:rPr>
                <w:rFonts w:ascii="仿宋" w:hAnsi="仿宋" w:eastAsia="仿宋" w:cs="仿宋"/>
                <w:b/>
                <w:bCs/>
                <w:kern w:val="2"/>
                <w:sz w:val="21"/>
                <w:szCs w:val="21"/>
              </w:rPr>
            </w:pPr>
            <w:r>
              <w:rPr>
                <w:rFonts w:hint="eastAsia" w:ascii="仿宋" w:hAnsi="仿宋" w:eastAsia="仿宋" w:cs="仿宋"/>
                <w:b/>
                <w:bCs/>
                <w:kern w:val="2"/>
                <w:sz w:val="21"/>
                <w:szCs w:val="21"/>
              </w:rPr>
              <w:t>安装位置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0"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消火栓［室内/室外］</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sz w:val="21"/>
                <w:szCs w:val="21"/>
              </w:rPr>
              <w:t>SN65</w:t>
            </w:r>
            <w:r>
              <w:rPr>
                <w:rFonts w:hint="eastAsia" w:ascii="仿宋" w:hAnsi="仿宋" w:eastAsia="仿宋" w:cs="仿宋"/>
                <w:kern w:val="2"/>
                <w:sz w:val="21"/>
                <w:szCs w:val="21"/>
              </w:rPr>
              <w:t>/</w:t>
            </w:r>
            <w:r>
              <w:rPr>
                <w:rFonts w:hint="eastAsia" w:ascii="仿宋" w:hAnsi="仿宋" w:eastAsia="仿宋"/>
                <w:sz w:val="21"/>
                <w:szCs w:val="21"/>
              </w:rPr>
              <w:t xml:space="preserve"> SS100/65</w:t>
            </w:r>
          </w:p>
        </w:tc>
        <w:tc>
          <w:tcPr>
            <w:tcW w:w="1462"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35/9</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各车间、厂区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0"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移动式泡沫车</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sz w:val="21"/>
                <w:szCs w:val="21"/>
              </w:rPr>
              <w:t>PMY450</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甲类罐区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0"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sz w:val="21"/>
                <w:szCs w:val="21"/>
              </w:rPr>
              <w:t>消防砂池（砂桶和铁锨）</w:t>
            </w:r>
          </w:p>
        </w:tc>
        <w:tc>
          <w:tcPr>
            <w:tcW w:w="1837"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2</w:t>
            </w:r>
            <w:r>
              <w:rPr>
                <w:rFonts w:hint="eastAsia" w:ascii="仿宋" w:hAnsi="仿宋" w:eastAsia="仿宋" w:cs="仿宋"/>
                <w:kern w:val="2"/>
                <w:sz w:val="21"/>
                <w:szCs w:val="21"/>
              </w:rPr>
              <w:t>座/1座</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甲类罐区/甲类原料仓库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127"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灭火器</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手提式ABC -8</w:t>
            </w:r>
          </w:p>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二氧化碳-4</w:t>
            </w:r>
          </w:p>
        </w:tc>
        <w:tc>
          <w:tcPr>
            <w:tcW w:w="1462"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188个</w:t>
            </w:r>
          </w:p>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8个</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车间、宿舍、配电等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39"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可燃气体报警仪</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21个</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罐区/生产车间/甲类原料仓库/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6"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有毒气体报警仪（氢气）</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4个</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snapToGrid w:val="0"/>
                <w:sz w:val="21"/>
                <w:szCs w:val="21"/>
              </w:rPr>
              <w:t>OASE、DCAP车间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88"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有毒气体报警仪（氯气）</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11个</w:t>
            </w:r>
          </w:p>
        </w:tc>
        <w:tc>
          <w:tcPr>
            <w:tcW w:w="2543" w:type="dxa"/>
            <w:vAlign w:val="center"/>
          </w:tcPr>
          <w:p>
            <w:pPr>
              <w:snapToGrid w:val="0"/>
              <w:spacing w:line="360" w:lineRule="exact"/>
              <w:jc w:val="center"/>
              <w:rPr>
                <w:rFonts w:ascii="仿宋" w:hAnsi="仿宋" w:eastAsia="仿宋"/>
                <w:snapToGrid w:val="0"/>
                <w:sz w:val="21"/>
                <w:szCs w:val="21"/>
              </w:rPr>
            </w:pPr>
            <w:r>
              <w:rPr>
                <w:rFonts w:hint="eastAsia" w:ascii="仿宋" w:hAnsi="仿宋" w:eastAsia="仿宋"/>
                <w:snapToGrid w:val="0"/>
                <w:sz w:val="21"/>
                <w:szCs w:val="21"/>
              </w:rPr>
              <w:t>SGL车间/甲类原料仓库/</w:t>
            </w:r>
          </w:p>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氯气房</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53"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烟感探测器</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p>
        </w:tc>
        <w:tc>
          <w:tcPr>
            <w:tcW w:w="2543" w:type="dxa"/>
            <w:vAlign w:val="center"/>
          </w:tcPr>
          <w:p>
            <w:pPr>
              <w:snapToGrid w:val="0"/>
              <w:spacing w:line="360" w:lineRule="exact"/>
              <w:jc w:val="center"/>
              <w:rPr>
                <w:rFonts w:ascii="仿宋" w:hAnsi="仿宋" w:eastAsia="仿宋"/>
                <w:snapToGrid w:val="0"/>
                <w:sz w:val="21"/>
                <w:szCs w:val="21"/>
              </w:rPr>
            </w:pPr>
            <w:r>
              <w:rPr>
                <w:rFonts w:hint="eastAsia" w:ascii="仿宋" w:hAnsi="仿宋" w:eastAsia="仿宋"/>
                <w:snapToGrid w:val="0"/>
                <w:sz w:val="21"/>
                <w:szCs w:val="21"/>
              </w:rPr>
              <w:t>仓库/生产车间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0"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自吸式</w:t>
            </w:r>
            <w:r>
              <w:rPr>
                <w:rFonts w:ascii="仿宋" w:hAnsi="仿宋" w:eastAsia="仿宋"/>
                <w:sz w:val="21"/>
                <w:szCs w:val="21"/>
              </w:rPr>
              <w:t>过滤式防毒面具</w:t>
            </w:r>
          </w:p>
        </w:tc>
        <w:tc>
          <w:tcPr>
            <w:tcW w:w="1837" w:type="dxa"/>
            <w:vAlign w:val="center"/>
          </w:tcPr>
          <w:p>
            <w:pPr>
              <w:snapToGrid w:val="0"/>
              <w:spacing w:line="360" w:lineRule="exact"/>
              <w:jc w:val="center"/>
              <w:rPr>
                <w:rFonts w:ascii="仿宋" w:hAnsi="仿宋" w:eastAsia="仿宋"/>
                <w:sz w:val="21"/>
                <w:szCs w:val="21"/>
              </w:rPr>
            </w:pPr>
            <w:r>
              <w:rPr>
                <w:rFonts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3套</w:t>
            </w:r>
          </w:p>
        </w:tc>
        <w:tc>
          <w:tcPr>
            <w:tcW w:w="2543"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生产车间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正压式空气呼吸器</w:t>
            </w:r>
          </w:p>
        </w:tc>
        <w:tc>
          <w:tcPr>
            <w:tcW w:w="1837" w:type="dxa"/>
            <w:vAlign w:val="center"/>
          </w:tcPr>
          <w:p>
            <w:pPr>
              <w:snapToGrid w:val="0"/>
              <w:spacing w:line="360" w:lineRule="exact"/>
              <w:jc w:val="center"/>
              <w:rPr>
                <w:rFonts w:ascii="仿宋" w:hAnsi="仿宋" w:eastAsia="仿宋"/>
                <w:sz w:val="21"/>
                <w:szCs w:val="21"/>
              </w:rPr>
            </w:pPr>
            <w:r>
              <w:rPr>
                <w:rFonts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2套</w:t>
            </w:r>
          </w:p>
        </w:tc>
        <w:tc>
          <w:tcPr>
            <w:tcW w:w="2543"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生产</w:t>
            </w:r>
            <w:r>
              <w:rPr>
                <w:rFonts w:ascii="仿宋" w:hAnsi="仿宋" w:eastAsia="仿宋"/>
                <w:sz w:val="21"/>
                <w:szCs w:val="21"/>
              </w:rPr>
              <w:t>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9"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重型防护服</w:t>
            </w:r>
          </w:p>
        </w:tc>
        <w:tc>
          <w:tcPr>
            <w:tcW w:w="1837"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2套</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sz w:val="21"/>
                <w:szCs w:val="21"/>
              </w:rPr>
              <w:t>氯气房</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94" w:hRule="atLeast"/>
          <w:jc w:val="center"/>
        </w:trPr>
        <w:tc>
          <w:tcPr>
            <w:tcW w:w="3069" w:type="dxa"/>
            <w:vAlign w:val="center"/>
          </w:tcPr>
          <w:p>
            <w:pPr>
              <w:snapToGrid w:val="0"/>
              <w:spacing w:line="360" w:lineRule="exact"/>
              <w:jc w:val="center"/>
              <w:rPr>
                <w:rFonts w:ascii="仿宋" w:hAnsi="仿宋" w:eastAsia="仿宋"/>
                <w:sz w:val="21"/>
                <w:szCs w:val="21"/>
              </w:rPr>
            </w:pPr>
            <w:r>
              <w:rPr>
                <w:rFonts w:ascii="仿宋" w:hAnsi="仿宋" w:eastAsia="仿宋"/>
                <w:sz w:val="21"/>
                <w:szCs w:val="21"/>
              </w:rPr>
              <w:t>急救箱</w:t>
            </w:r>
          </w:p>
        </w:tc>
        <w:tc>
          <w:tcPr>
            <w:tcW w:w="1837" w:type="dxa"/>
            <w:vAlign w:val="center"/>
          </w:tcPr>
          <w:p>
            <w:pPr>
              <w:snapToGrid w:val="0"/>
              <w:spacing w:line="360" w:lineRule="exact"/>
              <w:jc w:val="center"/>
              <w:rPr>
                <w:rFonts w:ascii="仿宋" w:hAnsi="仿宋" w:eastAsia="仿宋"/>
                <w:sz w:val="21"/>
                <w:szCs w:val="21"/>
              </w:rPr>
            </w:pPr>
            <w:r>
              <w:rPr>
                <w:rFonts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2套</w:t>
            </w:r>
          </w:p>
        </w:tc>
        <w:tc>
          <w:tcPr>
            <w:tcW w:w="2543"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生产车间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63"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化学防护服</w:t>
            </w:r>
          </w:p>
        </w:tc>
        <w:tc>
          <w:tcPr>
            <w:tcW w:w="1837" w:type="dxa"/>
            <w:vAlign w:val="center"/>
          </w:tcPr>
          <w:p>
            <w:pPr>
              <w:snapToGrid w:val="0"/>
              <w:spacing w:line="360" w:lineRule="exact"/>
              <w:jc w:val="center"/>
              <w:rPr>
                <w:rFonts w:ascii="仿宋" w:hAnsi="仿宋" w:eastAsia="仿宋"/>
                <w:sz w:val="21"/>
                <w:szCs w:val="21"/>
              </w:rPr>
            </w:pPr>
            <w:r>
              <w:rPr>
                <w:rFonts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3套</w:t>
            </w:r>
          </w:p>
        </w:tc>
        <w:tc>
          <w:tcPr>
            <w:tcW w:w="2543"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生产车间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18"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手推式氯气捕消器</w:t>
            </w:r>
          </w:p>
        </w:tc>
        <w:tc>
          <w:tcPr>
            <w:tcW w:w="1837"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6台</w:t>
            </w:r>
          </w:p>
        </w:tc>
        <w:tc>
          <w:tcPr>
            <w:tcW w:w="2543"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甲类原料仓库2台</w:t>
            </w:r>
          </w:p>
          <w:p>
            <w:pPr>
              <w:snapToGrid w:val="0"/>
              <w:spacing w:line="360" w:lineRule="exact"/>
              <w:jc w:val="center"/>
              <w:rPr>
                <w:rFonts w:ascii="仿宋" w:hAnsi="仿宋" w:eastAsia="仿宋" w:cs="仿宋"/>
                <w:kern w:val="2"/>
                <w:sz w:val="21"/>
                <w:szCs w:val="21"/>
              </w:rPr>
            </w:pPr>
            <w:r>
              <w:rPr>
                <w:rFonts w:hint="eastAsia" w:ascii="仿宋" w:hAnsi="仿宋" w:eastAsia="仿宋"/>
                <w:sz w:val="21"/>
                <w:szCs w:val="21"/>
              </w:rPr>
              <w:t>氯气房4台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47"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移动式气体浓度检测仪</w:t>
            </w:r>
          </w:p>
        </w:tc>
        <w:tc>
          <w:tcPr>
            <w:tcW w:w="1837"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w:t>
            </w:r>
          </w:p>
        </w:tc>
        <w:tc>
          <w:tcPr>
            <w:tcW w:w="1462"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2台</w:t>
            </w:r>
          </w:p>
        </w:tc>
        <w:tc>
          <w:tcPr>
            <w:tcW w:w="2543" w:type="dxa"/>
            <w:vMerge w:val="restart"/>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保卫室（消防站）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7"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手电筒</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2543" w:type="dxa"/>
            <w:vMerge w:val="continue"/>
            <w:vAlign w:val="center"/>
          </w:tcPr>
          <w:p>
            <w:pPr>
              <w:snapToGrid w:val="0"/>
              <w:spacing w:line="360" w:lineRule="exact"/>
              <w:jc w:val="center"/>
              <w:rPr>
                <w:rFonts w:ascii="仿宋" w:hAnsi="仿宋" w:eastAsia="仿宋" w:cs="仿宋"/>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7"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对讲机</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2543" w:type="dxa"/>
            <w:vMerge w:val="continue"/>
            <w:vAlign w:val="center"/>
          </w:tcPr>
          <w:p>
            <w:pPr>
              <w:snapToGrid w:val="0"/>
              <w:spacing w:line="360" w:lineRule="exact"/>
              <w:jc w:val="center"/>
              <w:rPr>
                <w:rFonts w:ascii="仿宋" w:hAnsi="仿宋" w:eastAsia="仿宋" w:cs="仿宋"/>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7"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吸附材料</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2543" w:type="dxa"/>
            <w:vMerge w:val="continue"/>
            <w:vAlign w:val="center"/>
          </w:tcPr>
          <w:p>
            <w:pPr>
              <w:snapToGrid w:val="0"/>
              <w:spacing w:line="360" w:lineRule="exact"/>
              <w:jc w:val="center"/>
              <w:rPr>
                <w:rFonts w:ascii="仿宋" w:hAnsi="仿宋" w:eastAsia="仿宋" w:cs="仿宋"/>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7" w:hRule="atLeast"/>
          <w:jc w:val="center"/>
        </w:trPr>
        <w:tc>
          <w:tcPr>
            <w:tcW w:w="3069" w:type="dxa"/>
            <w:vAlign w:val="center"/>
          </w:tcPr>
          <w:p>
            <w:pPr>
              <w:snapToGrid w:val="0"/>
              <w:spacing w:line="360" w:lineRule="exact"/>
              <w:jc w:val="center"/>
              <w:rPr>
                <w:rFonts w:ascii="仿宋" w:hAnsi="仿宋" w:eastAsia="仿宋"/>
                <w:sz w:val="21"/>
                <w:szCs w:val="21"/>
              </w:rPr>
            </w:pPr>
            <w:r>
              <w:rPr>
                <w:rFonts w:hint="eastAsia" w:ascii="仿宋" w:hAnsi="仿宋" w:eastAsia="仿宋"/>
                <w:sz w:val="21"/>
                <w:szCs w:val="21"/>
              </w:rPr>
              <w:t>应急处置工具箱</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w:t>
            </w:r>
          </w:p>
        </w:tc>
        <w:tc>
          <w:tcPr>
            <w:tcW w:w="2543" w:type="dxa"/>
            <w:vMerge w:val="continue"/>
            <w:vAlign w:val="center"/>
          </w:tcPr>
          <w:p>
            <w:pPr>
              <w:snapToGrid w:val="0"/>
              <w:spacing w:line="360" w:lineRule="exact"/>
              <w:jc w:val="center"/>
              <w:rPr>
                <w:rFonts w:ascii="仿宋" w:hAnsi="仿宋" w:eastAsia="仿宋" w:cs="仿宋"/>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87"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事故水池</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1372</w:t>
            </w:r>
            <w:r>
              <w:rPr>
                <w:rFonts w:hint="eastAsia" w:ascii="仿宋" w:hAnsi="仿宋" w:eastAsia="仿宋" w:cs="仿宋"/>
                <w:kern w:val="2"/>
                <w:sz w:val="21"/>
                <w:szCs w:val="21"/>
              </w:rPr>
              <w:t>m</w:t>
            </w:r>
            <w:r>
              <w:rPr>
                <w:rFonts w:hint="eastAsia" w:ascii="仿宋" w:hAnsi="仿宋" w:eastAsia="仿宋" w:cs="仿宋"/>
                <w:kern w:val="2"/>
                <w:sz w:val="21"/>
                <w:szCs w:val="21"/>
                <w:vertAlign w:val="superscript"/>
              </w:rPr>
              <w:t>3</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厂区北侧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6"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应急电源（6160柴油发电机）</w:t>
            </w:r>
          </w:p>
        </w:tc>
        <w:tc>
          <w:tcPr>
            <w:tcW w:w="1837"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300</w:t>
            </w:r>
            <w:r>
              <w:rPr>
                <w:rFonts w:hint="eastAsia" w:ascii="仿宋" w:hAnsi="仿宋" w:eastAsia="仿宋" w:cs="仿宋"/>
                <w:kern w:val="2"/>
                <w:sz w:val="21"/>
                <w:szCs w:val="21"/>
              </w:rPr>
              <w:t>kw</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w:t>
            </w:r>
          </w:p>
        </w:tc>
        <w:tc>
          <w:tcPr>
            <w:tcW w:w="2543" w:type="dxa"/>
            <w:vAlign w:val="center"/>
          </w:tcPr>
          <w:p>
            <w:pPr>
              <w:snapToGrid w:val="0"/>
              <w:spacing w:line="360" w:lineRule="exact"/>
              <w:jc w:val="center"/>
              <w:rPr>
                <w:rFonts w:hint="eastAsia" w:ascii="仿宋" w:hAnsi="仿宋" w:eastAsia="仿宋" w:cs="仿宋"/>
                <w:kern w:val="2"/>
                <w:sz w:val="21"/>
                <w:szCs w:val="21"/>
                <w:lang w:val="en-US" w:eastAsia="zh-CN"/>
              </w:rPr>
            </w:pPr>
            <w:r>
              <w:rPr>
                <w:rFonts w:hint="eastAsia" w:ascii="仿宋" w:hAnsi="仿宋" w:eastAsia="仿宋" w:cs="仿宋"/>
                <w:kern w:val="2"/>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860"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移动式消防冷却水系统</w:t>
            </w:r>
          </w:p>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移动式泡沫灭火系统</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甲类罐区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4" w:hRule="atLeast"/>
          <w:jc w:val="center"/>
        </w:trPr>
        <w:tc>
          <w:tcPr>
            <w:tcW w:w="3069"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消防水池</w:t>
            </w:r>
          </w:p>
        </w:tc>
        <w:tc>
          <w:tcPr>
            <w:tcW w:w="1837"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1360m</w:t>
            </w:r>
            <w:r>
              <w:rPr>
                <w:rFonts w:hint="eastAsia" w:ascii="仿宋" w:hAnsi="仿宋" w:eastAsia="仿宋" w:cs="仿宋"/>
                <w:kern w:val="2"/>
                <w:sz w:val="21"/>
                <w:szCs w:val="21"/>
                <w:vertAlign w:val="superscript"/>
              </w:rPr>
              <w:t>3</w:t>
            </w:r>
          </w:p>
        </w:tc>
        <w:tc>
          <w:tcPr>
            <w:tcW w:w="1462" w:type="dxa"/>
            <w:vAlign w:val="center"/>
          </w:tcPr>
          <w:p>
            <w:pPr>
              <w:snapToGrid w:val="0"/>
              <w:spacing w:line="360" w:lineRule="exact"/>
              <w:jc w:val="center"/>
              <w:rPr>
                <w:rFonts w:ascii="仿宋" w:hAnsi="仿宋" w:eastAsia="仿宋" w:cs="仿宋"/>
                <w:kern w:val="2"/>
                <w:sz w:val="21"/>
                <w:szCs w:val="21"/>
              </w:rPr>
            </w:pPr>
            <w:r>
              <w:rPr>
                <w:rFonts w:ascii="仿宋" w:hAnsi="仿宋" w:eastAsia="仿宋" w:cs="仿宋"/>
                <w:kern w:val="2"/>
                <w:sz w:val="21"/>
                <w:szCs w:val="21"/>
              </w:rPr>
              <w:t>1</w:t>
            </w:r>
          </w:p>
        </w:tc>
        <w:tc>
          <w:tcPr>
            <w:tcW w:w="2543" w:type="dxa"/>
            <w:vAlign w:val="center"/>
          </w:tcPr>
          <w:p>
            <w:pPr>
              <w:snapToGrid w:val="0"/>
              <w:spacing w:line="360" w:lineRule="exact"/>
              <w:jc w:val="center"/>
              <w:rPr>
                <w:rFonts w:ascii="仿宋" w:hAnsi="仿宋" w:eastAsia="仿宋" w:cs="仿宋"/>
                <w:kern w:val="2"/>
                <w:sz w:val="21"/>
                <w:szCs w:val="21"/>
              </w:rPr>
            </w:pPr>
            <w:r>
              <w:rPr>
                <w:rFonts w:hint="eastAsia" w:ascii="仿宋" w:hAnsi="仿宋" w:eastAsia="仿宋" w:cs="仿宋"/>
                <w:kern w:val="2"/>
                <w:sz w:val="21"/>
                <w:szCs w:val="21"/>
              </w:rPr>
              <w:t>厂区北侧</w:t>
            </w:r>
          </w:p>
        </w:tc>
      </w:tr>
    </w:tbl>
    <w:p>
      <w:pPr>
        <w:snapToGrid w:val="0"/>
        <w:spacing w:line="360" w:lineRule="auto"/>
        <w:jc w:val="center"/>
        <w:rPr>
          <w:rFonts w:eastAsia="黑体"/>
          <w:b/>
          <w:szCs w:val="24"/>
        </w:rPr>
      </w:pPr>
    </w:p>
    <w:p>
      <w:pPr>
        <w:widowControl/>
        <w:ind w:firstLine="420" w:firstLineChars="200"/>
        <w:jc w:val="left"/>
        <w:rPr>
          <w:rFonts w:ascii="仿宋" w:hAnsi="仿宋" w:eastAsia="仿宋"/>
          <w:b/>
          <w:sz w:val="21"/>
          <w:szCs w:val="21"/>
        </w:rPr>
      </w:pPr>
      <w:r>
        <w:rPr>
          <w:rFonts w:hint="eastAsia" w:ascii="仿宋" w:hAnsi="仿宋" w:eastAsia="仿宋"/>
          <w:sz w:val="21"/>
          <w:szCs w:val="21"/>
        </w:rPr>
        <w:t>蓬莱市前卫化工有限公司</w:t>
      </w:r>
      <w:r>
        <w:rPr>
          <w:rFonts w:ascii="仿宋" w:hAnsi="仿宋" w:eastAsia="仿宋"/>
          <w:sz w:val="21"/>
          <w:szCs w:val="21"/>
        </w:rPr>
        <w:t>厂区</w:t>
      </w:r>
      <w:r>
        <w:rPr>
          <w:rFonts w:hint="eastAsia" w:ascii="仿宋" w:hAnsi="仿宋" w:eastAsia="仿宋"/>
          <w:sz w:val="21"/>
          <w:szCs w:val="21"/>
        </w:rPr>
        <w:t>外协消防</w:t>
      </w:r>
      <w:r>
        <w:rPr>
          <w:rFonts w:ascii="仿宋" w:hAnsi="仿宋" w:eastAsia="仿宋"/>
          <w:sz w:val="21"/>
          <w:szCs w:val="21"/>
        </w:rPr>
        <w:t>依托</w:t>
      </w:r>
      <w:r>
        <w:rPr>
          <w:rFonts w:hint="eastAsia" w:ascii="仿宋" w:hAnsi="仿宋" w:eastAsia="仿宋"/>
          <w:snapToGrid w:val="0"/>
          <w:sz w:val="21"/>
          <w:szCs w:val="21"/>
        </w:rPr>
        <w:t>蓬莱市消防大队二中队</w:t>
      </w:r>
      <w:r>
        <w:rPr>
          <w:rFonts w:hint="eastAsia" w:ascii="仿宋" w:hAnsi="仿宋" w:eastAsia="仿宋"/>
          <w:sz w:val="21"/>
          <w:szCs w:val="21"/>
        </w:rPr>
        <w:t>，距离3km，在</w:t>
      </w:r>
      <w:r>
        <w:rPr>
          <w:rFonts w:ascii="仿宋" w:hAnsi="仿宋" w:eastAsia="仿宋"/>
          <w:sz w:val="21"/>
          <w:szCs w:val="21"/>
        </w:rPr>
        <w:t>发生事故</w:t>
      </w:r>
      <w:r>
        <w:rPr>
          <w:rFonts w:hint="eastAsia" w:ascii="仿宋" w:hAnsi="仿宋" w:eastAsia="仿宋"/>
          <w:sz w:val="21"/>
          <w:szCs w:val="21"/>
        </w:rPr>
        <w:t>后消防车10分钟内</w:t>
      </w:r>
      <w:r>
        <w:rPr>
          <w:rFonts w:ascii="仿宋" w:hAnsi="仿宋" w:eastAsia="仿宋"/>
          <w:sz w:val="21"/>
          <w:szCs w:val="21"/>
        </w:rPr>
        <w:t>能迅速赶到现场，</w:t>
      </w:r>
      <w:r>
        <w:rPr>
          <w:rFonts w:hint="eastAsia" w:ascii="仿宋" w:hAnsi="仿宋" w:eastAsia="仿宋"/>
          <w:sz w:val="21"/>
          <w:szCs w:val="21"/>
        </w:rPr>
        <w:t>及时处理事故，</w:t>
      </w:r>
      <w:r>
        <w:rPr>
          <w:rFonts w:hint="eastAsia" w:ascii="仿宋" w:hAnsi="仿宋" w:eastAsia="仿宋"/>
          <w:snapToGrid w:val="0"/>
          <w:sz w:val="21"/>
          <w:szCs w:val="21"/>
        </w:rPr>
        <w:t>外部消防力量能满足消防需要。</w:t>
      </w:r>
      <w:r>
        <w:rPr>
          <w:rFonts w:ascii="仿宋" w:hAnsi="仿宋" w:eastAsia="仿宋"/>
          <w:b/>
          <w:sz w:val="21"/>
          <w:szCs w:val="21"/>
        </w:rPr>
        <w:br w:type="page"/>
      </w:r>
    </w:p>
    <w:p>
      <w:pPr>
        <w:snapToGrid w:val="0"/>
        <w:spacing w:line="360" w:lineRule="auto"/>
        <w:jc w:val="center"/>
        <w:rPr>
          <w:rFonts w:ascii="仿宋" w:hAnsi="仿宋" w:eastAsia="仿宋"/>
          <w:sz w:val="24"/>
          <w:szCs w:val="24"/>
        </w:rPr>
      </w:pPr>
      <w:r>
        <w:rPr>
          <w:rFonts w:ascii="仿宋" w:hAnsi="仿宋" w:eastAsia="仿宋"/>
          <w:b/>
          <w:sz w:val="24"/>
          <w:szCs w:val="24"/>
        </w:rPr>
        <w:t>消火栓布</w:t>
      </w:r>
      <w:r>
        <w:rPr>
          <w:rFonts w:hint="eastAsia" w:ascii="仿宋" w:hAnsi="仿宋" w:eastAsia="仿宋"/>
          <w:b/>
          <w:sz w:val="24"/>
          <w:szCs w:val="24"/>
        </w:rPr>
        <w:t>置情况一览表</w:t>
      </w:r>
    </w:p>
    <w:tbl>
      <w:tblPr>
        <w:tblStyle w:val="26"/>
        <w:tblW w:w="8752" w:type="dxa"/>
        <w:jc w:val="center"/>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796"/>
        <w:gridCol w:w="1420"/>
        <w:gridCol w:w="1254"/>
        <w:gridCol w:w="2535"/>
        <w:gridCol w:w="1377"/>
        <w:gridCol w:w="1370"/>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blHeader/>
          <w:jc w:val="center"/>
        </w:trPr>
        <w:tc>
          <w:tcPr>
            <w:tcW w:w="796"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序号</w:t>
            </w:r>
          </w:p>
        </w:tc>
        <w:tc>
          <w:tcPr>
            <w:tcW w:w="1420"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名称</w:t>
            </w:r>
          </w:p>
        </w:tc>
        <w:tc>
          <w:tcPr>
            <w:tcW w:w="1254"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型号</w:t>
            </w:r>
          </w:p>
        </w:tc>
        <w:tc>
          <w:tcPr>
            <w:tcW w:w="2535"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位置</w:t>
            </w:r>
          </w:p>
        </w:tc>
        <w:tc>
          <w:tcPr>
            <w:tcW w:w="1377"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数量（个）</w:t>
            </w:r>
          </w:p>
        </w:tc>
        <w:tc>
          <w:tcPr>
            <w:tcW w:w="1370"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1</w:t>
            </w:r>
          </w:p>
        </w:tc>
        <w:tc>
          <w:tcPr>
            <w:tcW w:w="1420" w:type="dxa"/>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室外消火栓</w:t>
            </w:r>
          </w:p>
        </w:tc>
        <w:tc>
          <w:tcPr>
            <w:tcW w:w="1254"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SS100/65</w:t>
            </w: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建筑外沿道路敷设</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9</w:t>
            </w:r>
          </w:p>
        </w:tc>
        <w:tc>
          <w:tcPr>
            <w:tcW w:w="1370" w:type="dxa"/>
            <w:vAlign w:val="center"/>
          </w:tcPr>
          <w:p>
            <w:pPr>
              <w:adjustRightInd w:val="0"/>
              <w:snapToGrid w:val="0"/>
              <w:spacing w:line="320" w:lineRule="exact"/>
              <w:jc w:val="center"/>
              <w:rPr>
                <w:rFonts w:ascii="仿宋" w:hAnsi="仿宋" w:eastAsia="仿宋"/>
                <w:sz w:val="21"/>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Merge w:val="restart"/>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2</w:t>
            </w:r>
          </w:p>
        </w:tc>
        <w:tc>
          <w:tcPr>
            <w:tcW w:w="1420" w:type="dxa"/>
            <w:vMerge w:val="restart"/>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室内消火栓</w:t>
            </w:r>
          </w:p>
        </w:tc>
        <w:tc>
          <w:tcPr>
            <w:tcW w:w="1254" w:type="dxa"/>
            <w:vMerge w:val="restart"/>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SN65</w:t>
            </w: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MNBA  HGSXFT车间</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12</w:t>
            </w:r>
          </w:p>
        </w:tc>
        <w:tc>
          <w:tcPr>
            <w:tcW w:w="1370" w:type="dxa"/>
            <w:vMerge w:val="restart"/>
            <w:vAlign w:val="center"/>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总计：</w:t>
            </w:r>
            <w:r>
              <w:rPr>
                <w:rFonts w:hint="eastAsia" w:ascii="仿宋" w:hAnsi="仿宋" w:eastAsia="仿宋"/>
                <w:sz w:val="21"/>
                <w:szCs w:val="21"/>
              </w:rPr>
              <w:t>35</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Merge w:val="continue"/>
            <w:vAlign w:val="center"/>
          </w:tcPr>
          <w:p>
            <w:pPr>
              <w:adjustRightInd w:val="0"/>
              <w:snapToGrid w:val="0"/>
              <w:spacing w:line="320" w:lineRule="exact"/>
              <w:jc w:val="center"/>
              <w:rPr>
                <w:rFonts w:ascii="仿宋" w:hAnsi="仿宋" w:eastAsia="仿宋"/>
                <w:sz w:val="21"/>
                <w:szCs w:val="21"/>
              </w:rPr>
            </w:pPr>
          </w:p>
        </w:tc>
        <w:tc>
          <w:tcPr>
            <w:tcW w:w="1420" w:type="dxa"/>
            <w:vMerge w:val="continue"/>
            <w:vAlign w:val="center"/>
          </w:tcPr>
          <w:p>
            <w:pPr>
              <w:adjustRightInd w:val="0"/>
              <w:snapToGrid w:val="0"/>
              <w:spacing w:line="320" w:lineRule="exact"/>
              <w:jc w:val="center"/>
              <w:rPr>
                <w:rFonts w:ascii="仿宋" w:hAnsi="仿宋" w:eastAsia="仿宋"/>
                <w:sz w:val="21"/>
                <w:szCs w:val="21"/>
              </w:rPr>
            </w:pPr>
          </w:p>
        </w:tc>
        <w:tc>
          <w:tcPr>
            <w:tcW w:w="1254" w:type="dxa"/>
            <w:vMerge w:val="continue"/>
            <w:vAlign w:val="center"/>
          </w:tcPr>
          <w:p>
            <w:pPr>
              <w:adjustRightInd w:val="0"/>
              <w:snapToGrid w:val="0"/>
              <w:spacing w:line="320" w:lineRule="exact"/>
              <w:jc w:val="center"/>
              <w:rPr>
                <w:rFonts w:ascii="仿宋" w:hAnsi="仿宋" w:eastAsia="仿宋"/>
                <w:sz w:val="21"/>
                <w:szCs w:val="21"/>
              </w:rPr>
            </w:pP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OASE、DCAP车间</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9</w:t>
            </w:r>
          </w:p>
        </w:tc>
        <w:tc>
          <w:tcPr>
            <w:tcW w:w="1370" w:type="dxa"/>
            <w:vMerge w:val="continue"/>
            <w:vAlign w:val="center"/>
          </w:tcPr>
          <w:p>
            <w:pPr>
              <w:adjustRightInd w:val="0"/>
              <w:snapToGrid w:val="0"/>
              <w:spacing w:line="320" w:lineRule="exact"/>
              <w:jc w:val="center"/>
              <w:rPr>
                <w:rFonts w:ascii="仿宋" w:hAnsi="仿宋" w:eastAsia="仿宋"/>
                <w:sz w:val="21"/>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Merge w:val="continue"/>
            <w:vAlign w:val="center"/>
          </w:tcPr>
          <w:p>
            <w:pPr>
              <w:adjustRightInd w:val="0"/>
              <w:snapToGrid w:val="0"/>
              <w:spacing w:line="320" w:lineRule="exact"/>
              <w:jc w:val="center"/>
              <w:rPr>
                <w:rFonts w:ascii="仿宋" w:hAnsi="仿宋" w:eastAsia="仿宋"/>
                <w:sz w:val="21"/>
                <w:szCs w:val="21"/>
              </w:rPr>
            </w:pPr>
          </w:p>
        </w:tc>
        <w:tc>
          <w:tcPr>
            <w:tcW w:w="1420" w:type="dxa"/>
            <w:vMerge w:val="continue"/>
            <w:vAlign w:val="center"/>
          </w:tcPr>
          <w:p>
            <w:pPr>
              <w:adjustRightInd w:val="0"/>
              <w:snapToGrid w:val="0"/>
              <w:spacing w:line="320" w:lineRule="exact"/>
              <w:jc w:val="center"/>
              <w:rPr>
                <w:rFonts w:ascii="仿宋" w:hAnsi="仿宋" w:eastAsia="仿宋"/>
                <w:sz w:val="21"/>
                <w:szCs w:val="21"/>
              </w:rPr>
            </w:pPr>
          </w:p>
        </w:tc>
        <w:tc>
          <w:tcPr>
            <w:tcW w:w="1254" w:type="dxa"/>
            <w:vMerge w:val="continue"/>
            <w:vAlign w:val="center"/>
          </w:tcPr>
          <w:p>
            <w:pPr>
              <w:adjustRightInd w:val="0"/>
              <w:snapToGrid w:val="0"/>
              <w:spacing w:line="320" w:lineRule="exact"/>
              <w:jc w:val="center"/>
              <w:rPr>
                <w:rFonts w:ascii="仿宋" w:hAnsi="仿宋" w:eastAsia="仿宋"/>
                <w:sz w:val="21"/>
                <w:szCs w:val="21"/>
              </w:rPr>
            </w:pP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SGL车间</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8</w:t>
            </w:r>
          </w:p>
        </w:tc>
        <w:tc>
          <w:tcPr>
            <w:tcW w:w="1370" w:type="dxa"/>
            <w:vMerge w:val="continue"/>
            <w:vAlign w:val="center"/>
          </w:tcPr>
          <w:p>
            <w:pPr>
              <w:adjustRightInd w:val="0"/>
              <w:snapToGrid w:val="0"/>
              <w:spacing w:line="320" w:lineRule="exact"/>
              <w:jc w:val="center"/>
              <w:rPr>
                <w:rFonts w:ascii="仿宋" w:hAnsi="仿宋" w:eastAsia="仿宋"/>
                <w:sz w:val="21"/>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Merge w:val="continue"/>
            <w:vAlign w:val="center"/>
          </w:tcPr>
          <w:p>
            <w:pPr>
              <w:adjustRightInd w:val="0"/>
              <w:snapToGrid w:val="0"/>
              <w:spacing w:line="320" w:lineRule="exact"/>
              <w:jc w:val="center"/>
              <w:rPr>
                <w:rFonts w:ascii="仿宋" w:hAnsi="仿宋" w:eastAsia="仿宋"/>
                <w:sz w:val="21"/>
                <w:szCs w:val="21"/>
              </w:rPr>
            </w:pPr>
          </w:p>
        </w:tc>
        <w:tc>
          <w:tcPr>
            <w:tcW w:w="1420" w:type="dxa"/>
            <w:vMerge w:val="continue"/>
            <w:vAlign w:val="center"/>
          </w:tcPr>
          <w:p>
            <w:pPr>
              <w:adjustRightInd w:val="0"/>
              <w:snapToGrid w:val="0"/>
              <w:spacing w:line="320" w:lineRule="exact"/>
              <w:jc w:val="center"/>
              <w:rPr>
                <w:rFonts w:ascii="仿宋" w:hAnsi="仿宋" w:eastAsia="仿宋"/>
                <w:sz w:val="21"/>
                <w:szCs w:val="21"/>
              </w:rPr>
            </w:pPr>
          </w:p>
        </w:tc>
        <w:tc>
          <w:tcPr>
            <w:tcW w:w="1254" w:type="dxa"/>
            <w:vMerge w:val="continue"/>
            <w:vAlign w:val="center"/>
          </w:tcPr>
          <w:p>
            <w:pPr>
              <w:adjustRightInd w:val="0"/>
              <w:snapToGrid w:val="0"/>
              <w:spacing w:line="320" w:lineRule="exact"/>
              <w:jc w:val="center"/>
              <w:rPr>
                <w:rFonts w:ascii="仿宋" w:hAnsi="仿宋" w:eastAsia="仿宋"/>
                <w:sz w:val="21"/>
                <w:szCs w:val="21"/>
              </w:rPr>
            </w:pP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甲类原料仓库</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3</w:t>
            </w:r>
          </w:p>
        </w:tc>
        <w:tc>
          <w:tcPr>
            <w:tcW w:w="1370" w:type="dxa"/>
            <w:vMerge w:val="continue"/>
            <w:vAlign w:val="center"/>
          </w:tcPr>
          <w:p>
            <w:pPr>
              <w:adjustRightInd w:val="0"/>
              <w:snapToGrid w:val="0"/>
              <w:spacing w:line="320" w:lineRule="exact"/>
              <w:jc w:val="center"/>
              <w:rPr>
                <w:rFonts w:ascii="仿宋" w:hAnsi="仿宋" w:eastAsia="仿宋"/>
                <w:sz w:val="21"/>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96" w:type="dxa"/>
            <w:vMerge w:val="continue"/>
            <w:vAlign w:val="center"/>
          </w:tcPr>
          <w:p>
            <w:pPr>
              <w:adjustRightInd w:val="0"/>
              <w:snapToGrid w:val="0"/>
              <w:spacing w:line="320" w:lineRule="exact"/>
              <w:jc w:val="center"/>
              <w:rPr>
                <w:rFonts w:ascii="仿宋" w:hAnsi="仿宋" w:eastAsia="仿宋"/>
                <w:sz w:val="21"/>
                <w:szCs w:val="21"/>
              </w:rPr>
            </w:pPr>
          </w:p>
        </w:tc>
        <w:tc>
          <w:tcPr>
            <w:tcW w:w="1420" w:type="dxa"/>
            <w:vMerge w:val="continue"/>
            <w:vAlign w:val="center"/>
          </w:tcPr>
          <w:p>
            <w:pPr>
              <w:adjustRightInd w:val="0"/>
              <w:snapToGrid w:val="0"/>
              <w:spacing w:line="320" w:lineRule="exact"/>
              <w:jc w:val="center"/>
              <w:rPr>
                <w:rFonts w:ascii="仿宋" w:hAnsi="仿宋" w:eastAsia="仿宋"/>
                <w:sz w:val="21"/>
                <w:szCs w:val="21"/>
              </w:rPr>
            </w:pPr>
          </w:p>
        </w:tc>
        <w:tc>
          <w:tcPr>
            <w:tcW w:w="1254" w:type="dxa"/>
            <w:vMerge w:val="continue"/>
            <w:vAlign w:val="center"/>
          </w:tcPr>
          <w:p>
            <w:pPr>
              <w:adjustRightInd w:val="0"/>
              <w:snapToGrid w:val="0"/>
              <w:spacing w:line="320" w:lineRule="exact"/>
              <w:jc w:val="center"/>
              <w:rPr>
                <w:rFonts w:ascii="仿宋" w:hAnsi="仿宋" w:eastAsia="仿宋"/>
                <w:sz w:val="21"/>
                <w:szCs w:val="21"/>
              </w:rPr>
            </w:pPr>
          </w:p>
        </w:tc>
        <w:tc>
          <w:tcPr>
            <w:tcW w:w="2535"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丙类原料仓库</w:t>
            </w:r>
          </w:p>
        </w:tc>
        <w:tc>
          <w:tcPr>
            <w:tcW w:w="1377" w:type="dxa"/>
            <w:vAlign w:val="center"/>
          </w:tcPr>
          <w:p>
            <w:pPr>
              <w:adjustRightInd w:val="0"/>
              <w:snapToGrid w:val="0"/>
              <w:spacing w:line="320" w:lineRule="exact"/>
              <w:jc w:val="center"/>
              <w:rPr>
                <w:rFonts w:ascii="仿宋" w:hAnsi="仿宋" w:eastAsia="仿宋"/>
                <w:sz w:val="21"/>
                <w:szCs w:val="21"/>
              </w:rPr>
            </w:pPr>
            <w:r>
              <w:rPr>
                <w:rFonts w:hint="eastAsia" w:ascii="仿宋" w:hAnsi="仿宋" w:eastAsia="仿宋"/>
                <w:sz w:val="21"/>
                <w:szCs w:val="21"/>
              </w:rPr>
              <w:t>4</w:t>
            </w:r>
          </w:p>
        </w:tc>
        <w:tc>
          <w:tcPr>
            <w:tcW w:w="1370" w:type="dxa"/>
            <w:vMerge w:val="continue"/>
            <w:vAlign w:val="center"/>
          </w:tcPr>
          <w:p>
            <w:pPr>
              <w:adjustRightInd w:val="0"/>
              <w:snapToGrid w:val="0"/>
              <w:spacing w:line="320" w:lineRule="exact"/>
              <w:jc w:val="center"/>
              <w:rPr>
                <w:rFonts w:ascii="仿宋" w:hAnsi="仿宋" w:eastAsia="仿宋"/>
                <w:sz w:val="21"/>
                <w:szCs w:val="21"/>
              </w:rPr>
            </w:pPr>
          </w:p>
        </w:tc>
      </w:tr>
    </w:tbl>
    <w:p>
      <w:pPr>
        <w:pStyle w:val="35"/>
        <w:spacing w:line="520" w:lineRule="exact"/>
        <w:rPr>
          <w:rFonts w:eastAsia="黑体"/>
          <w:b/>
          <w:szCs w:val="24"/>
        </w:rPr>
      </w:pPr>
      <w:r>
        <w:rPr>
          <w:rFonts w:hint="eastAsia" w:ascii="仿宋" w:hAnsi="仿宋" w:eastAsia="仿宋" w:cs="Arial"/>
          <w:b/>
          <w:kern w:val="0"/>
          <w:sz w:val="24"/>
          <w:szCs w:val="24"/>
        </w:rPr>
        <w:t>灭火器</w:t>
      </w:r>
      <w:r>
        <w:rPr>
          <w:rFonts w:ascii="仿宋" w:hAnsi="仿宋" w:eastAsia="仿宋" w:cs="Arial"/>
          <w:b/>
          <w:kern w:val="0"/>
          <w:sz w:val="24"/>
          <w:szCs w:val="24"/>
        </w:rPr>
        <w:t>布置情况一览表</w:t>
      </w:r>
    </w:p>
    <w:tbl>
      <w:tblPr>
        <w:tblStyle w:val="26"/>
        <w:tblW w:w="8755"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9"/>
        <w:gridCol w:w="2494"/>
        <w:gridCol w:w="1174"/>
        <w:gridCol w:w="2486"/>
        <w:gridCol w:w="186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47" w:hRule="atLeast"/>
          <w:tblHeader/>
          <w:jc w:val="center"/>
        </w:trPr>
        <w:tc>
          <w:tcPr>
            <w:tcW w:w="739" w:type="dxa"/>
            <w:vAlign w:val="center"/>
          </w:tcPr>
          <w:p>
            <w:pPr>
              <w:pStyle w:val="79"/>
              <w:spacing w:line="320" w:lineRule="exact"/>
              <w:rPr>
                <w:rFonts w:ascii="仿宋" w:hAnsi="仿宋" w:eastAsia="仿宋"/>
                <w:b/>
              </w:rPr>
            </w:pPr>
            <w:r>
              <w:rPr>
                <w:rFonts w:hint="eastAsia" w:ascii="仿宋" w:hAnsi="仿宋" w:eastAsia="仿宋"/>
                <w:b/>
              </w:rPr>
              <w:t>序号</w:t>
            </w:r>
          </w:p>
        </w:tc>
        <w:tc>
          <w:tcPr>
            <w:tcW w:w="2494" w:type="dxa"/>
            <w:vAlign w:val="center"/>
          </w:tcPr>
          <w:p>
            <w:pPr>
              <w:pStyle w:val="79"/>
              <w:spacing w:line="320" w:lineRule="exact"/>
              <w:rPr>
                <w:rFonts w:ascii="仿宋" w:hAnsi="仿宋" w:eastAsia="仿宋"/>
                <w:b/>
              </w:rPr>
            </w:pPr>
            <w:r>
              <w:rPr>
                <w:rFonts w:hint="eastAsia" w:ascii="仿宋" w:hAnsi="仿宋" w:eastAsia="仿宋"/>
                <w:b/>
              </w:rPr>
              <w:t>名称</w:t>
            </w:r>
          </w:p>
        </w:tc>
        <w:tc>
          <w:tcPr>
            <w:tcW w:w="1174" w:type="dxa"/>
            <w:vAlign w:val="center"/>
          </w:tcPr>
          <w:p>
            <w:pPr>
              <w:pStyle w:val="79"/>
              <w:spacing w:line="320" w:lineRule="exact"/>
              <w:rPr>
                <w:rFonts w:ascii="仿宋" w:hAnsi="仿宋" w:eastAsia="仿宋"/>
                <w:b/>
              </w:rPr>
            </w:pPr>
            <w:r>
              <w:rPr>
                <w:rFonts w:hint="eastAsia" w:ascii="仿宋" w:hAnsi="仿宋" w:eastAsia="仿宋"/>
                <w:b/>
              </w:rPr>
              <w:t>型号</w:t>
            </w:r>
          </w:p>
        </w:tc>
        <w:tc>
          <w:tcPr>
            <w:tcW w:w="2486" w:type="dxa"/>
            <w:vAlign w:val="center"/>
          </w:tcPr>
          <w:p>
            <w:pPr>
              <w:pStyle w:val="79"/>
              <w:spacing w:line="320" w:lineRule="exact"/>
              <w:rPr>
                <w:rFonts w:ascii="仿宋" w:hAnsi="仿宋" w:eastAsia="仿宋"/>
                <w:b/>
              </w:rPr>
            </w:pPr>
            <w:r>
              <w:rPr>
                <w:rFonts w:hint="eastAsia" w:ascii="仿宋" w:hAnsi="仿宋" w:eastAsia="仿宋"/>
                <w:b/>
              </w:rPr>
              <w:t>位置</w:t>
            </w:r>
          </w:p>
        </w:tc>
        <w:tc>
          <w:tcPr>
            <w:tcW w:w="1862" w:type="dxa"/>
            <w:vAlign w:val="center"/>
          </w:tcPr>
          <w:p>
            <w:pPr>
              <w:pStyle w:val="79"/>
              <w:spacing w:line="320" w:lineRule="exact"/>
              <w:rPr>
                <w:rFonts w:ascii="仿宋" w:hAnsi="仿宋" w:eastAsia="仿宋"/>
                <w:b/>
              </w:rPr>
            </w:pPr>
            <w:r>
              <w:rPr>
                <w:rFonts w:hint="eastAsia" w:ascii="仿宋" w:hAnsi="仿宋" w:eastAsia="仿宋"/>
                <w:b/>
              </w:rPr>
              <w:t>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00" w:hRule="atLeast"/>
          <w:jc w:val="center"/>
        </w:trPr>
        <w:tc>
          <w:tcPr>
            <w:tcW w:w="739" w:type="dxa"/>
            <w:vAlign w:val="center"/>
          </w:tcPr>
          <w:p>
            <w:pPr>
              <w:pStyle w:val="79"/>
              <w:spacing w:line="320" w:lineRule="exact"/>
              <w:rPr>
                <w:rFonts w:ascii="仿宋" w:hAnsi="仿宋" w:eastAsia="仿宋"/>
              </w:rPr>
            </w:pPr>
            <w:r>
              <w:rPr>
                <w:rFonts w:ascii="仿宋" w:hAnsi="仿宋" w:eastAsia="仿宋"/>
              </w:rPr>
              <w:t>1</w:t>
            </w:r>
          </w:p>
        </w:tc>
        <w:tc>
          <w:tcPr>
            <w:tcW w:w="2494" w:type="dxa"/>
            <w:vAlign w:val="center"/>
          </w:tcPr>
          <w:p>
            <w:pPr>
              <w:pStyle w:val="79"/>
              <w:spacing w:line="320" w:lineRule="exact"/>
              <w:rPr>
                <w:rFonts w:ascii="仿宋" w:hAnsi="仿宋" w:eastAsia="仿宋"/>
              </w:rPr>
            </w:pPr>
            <w:r>
              <w:rPr>
                <w:rFonts w:hint="eastAsia" w:ascii="仿宋" w:hAnsi="仿宋" w:eastAsia="仿宋"/>
              </w:rPr>
              <w:t>手提式干粉灭火器</w:t>
            </w:r>
          </w:p>
        </w:tc>
        <w:tc>
          <w:tcPr>
            <w:tcW w:w="1174" w:type="dxa"/>
            <w:vAlign w:val="center"/>
          </w:tcPr>
          <w:p>
            <w:pPr>
              <w:pStyle w:val="79"/>
              <w:spacing w:line="320" w:lineRule="exact"/>
              <w:rPr>
                <w:rFonts w:ascii="仿宋" w:hAnsi="仿宋" w:eastAsia="仿宋"/>
              </w:rPr>
            </w:pPr>
            <w:r>
              <w:rPr>
                <w:rFonts w:hint="eastAsia" w:ascii="仿宋" w:hAnsi="仿宋" w:eastAsia="仿宋"/>
              </w:rPr>
              <w:t>MF8</w:t>
            </w:r>
          </w:p>
        </w:tc>
        <w:tc>
          <w:tcPr>
            <w:tcW w:w="2486" w:type="dxa"/>
            <w:vAlign w:val="center"/>
          </w:tcPr>
          <w:p>
            <w:pPr>
              <w:pStyle w:val="79"/>
              <w:spacing w:line="320" w:lineRule="exact"/>
              <w:rPr>
                <w:rFonts w:ascii="仿宋" w:hAnsi="仿宋" w:eastAsia="仿宋"/>
              </w:rPr>
            </w:pPr>
            <w:r>
              <w:rPr>
                <w:rFonts w:hint="eastAsia" w:ascii="仿宋" w:hAnsi="仿宋" w:eastAsia="仿宋"/>
              </w:rPr>
              <w:t>MNBA、HGSXFT车间</w:t>
            </w:r>
          </w:p>
        </w:tc>
        <w:tc>
          <w:tcPr>
            <w:tcW w:w="1862" w:type="dxa"/>
            <w:vAlign w:val="center"/>
          </w:tcPr>
          <w:p>
            <w:pPr>
              <w:pStyle w:val="79"/>
              <w:spacing w:line="320" w:lineRule="exact"/>
              <w:rPr>
                <w:rFonts w:ascii="仿宋" w:hAnsi="仿宋" w:eastAsia="仿宋"/>
              </w:rPr>
            </w:pPr>
            <w:r>
              <w:rPr>
                <w:rFonts w:ascii="仿宋" w:hAnsi="仿宋" w:eastAsia="仿宋"/>
              </w:rPr>
              <w:t>4</w:t>
            </w:r>
            <w:r>
              <w:rPr>
                <w:rFonts w:hint="eastAsia" w:ascii="仿宋" w:hAnsi="仿宋" w:eastAsia="仿宋"/>
              </w:rPr>
              <w:t>8个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2</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hint="eastAsia" w:ascii="仿宋" w:hAnsi="仿宋" w:eastAsia="仿宋"/>
              </w:rPr>
              <w:t>MF8</w:t>
            </w:r>
          </w:p>
        </w:tc>
        <w:tc>
          <w:tcPr>
            <w:tcW w:w="2486" w:type="dxa"/>
            <w:vAlign w:val="center"/>
          </w:tcPr>
          <w:p>
            <w:pPr>
              <w:pStyle w:val="79"/>
              <w:spacing w:line="320" w:lineRule="exact"/>
              <w:rPr>
                <w:rFonts w:ascii="仿宋" w:hAnsi="仿宋" w:eastAsia="仿宋"/>
              </w:rPr>
            </w:pPr>
            <w:r>
              <w:rPr>
                <w:rFonts w:hint="eastAsia" w:ascii="仿宋" w:hAnsi="仿宋" w:eastAsia="仿宋"/>
              </w:rPr>
              <w:t>OASE、DCAP车间</w:t>
            </w:r>
          </w:p>
        </w:tc>
        <w:tc>
          <w:tcPr>
            <w:tcW w:w="1862" w:type="dxa"/>
            <w:vAlign w:val="center"/>
          </w:tcPr>
          <w:p>
            <w:pPr>
              <w:pStyle w:val="79"/>
              <w:spacing w:line="320" w:lineRule="exact"/>
              <w:rPr>
                <w:rFonts w:ascii="仿宋" w:hAnsi="仿宋" w:eastAsia="仿宋"/>
              </w:rPr>
            </w:pPr>
            <w:r>
              <w:rPr>
                <w:rFonts w:hint="eastAsia" w:ascii="仿宋" w:hAnsi="仿宋" w:eastAsia="仿宋"/>
              </w:rPr>
              <w:t>34个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3</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hint="eastAsia" w:ascii="仿宋" w:hAnsi="仿宋" w:eastAsia="仿宋"/>
              </w:rPr>
              <w:t>MF8</w:t>
            </w:r>
          </w:p>
        </w:tc>
        <w:tc>
          <w:tcPr>
            <w:tcW w:w="2486" w:type="dxa"/>
            <w:vAlign w:val="center"/>
          </w:tcPr>
          <w:p>
            <w:pPr>
              <w:pStyle w:val="79"/>
              <w:spacing w:line="320" w:lineRule="exact"/>
              <w:rPr>
                <w:rFonts w:ascii="仿宋" w:hAnsi="仿宋" w:eastAsia="仿宋"/>
              </w:rPr>
            </w:pPr>
            <w:r>
              <w:rPr>
                <w:rFonts w:hint="eastAsia" w:ascii="仿宋" w:hAnsi="仿宋" w:eastAsia="仿宋" w:cs="Arial"/>
              </w:rPr>
              <w:t>SGL车间</w:t>
            </w:r>
          </w:p>
        </w:tc>
        <w:tc>
          <w:tcPr>
            <w:tcW w:w="1862" w:type="dxa"/>
            <w:vAlign w:val="center"/>
          </w:tcPr>
          <w:p>
            <w:pPr>
              <w:pStyle w:val="79"/>
              <w:spacing w:line="320" w:lineRule="exact"/>
              <w:rPr>
                <w:rFonts w:ascii="仿宋" w:hAnsi="仿宋" w:eastAsia="仿宋"/>
              </w:rPr>
            </w:pPr>
            <w:r>
              <w:rPr>
                <w:rFonts w:hint="eastAsia" w:ascii="仿宋" w:hAnsi="仿宋" w:eastAsia="仿宋"/>
              </w:rPr>
              <w:t>54个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00" w:hRule="atLeast"/>
          <w:jc w:val="center"/>
        </w:trPr>
        <w:tc>
          <w:tcPr>
            <w:tcW w:w="739" w:type="dxa"/>
            <w:vAlign w:val="center"/>
          </w:tcPr>
          <w:p>
            <w:pPr>
              <w:pStyle w:val="79"/>
              <w:spacing w:line="320" w:lineRule="exact"/>
              <w:rPr>
                <w:rFonts w:ascii="仿宋" w:hAnsi="仿宋" w:eastAsia="仿宋"/>
              </w:rPr>
            </w:pPr>
            <w:r>
              <w:rPr>
                <w:rFonts w:ascii="仿宋" w:hAnsi="仿宋" w:eastAsia="仿宋"/>
              </w:rPr>
              <w:t>4</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hint="eastAsia" w:ascii="仿宋" w:hAnsi="仿宋" w:eastAsia="仿宋"/>
              </w:rPr>
              <w:t>MF8</w:t>
            </w:r>
          </w:p>
        </w:tc>
        <w:tc>
          <w:tcPr>
            <w:tcW w:w="2486" w:type="dxa"/>
            <w:vAlign w:val="center"/>
          </w:tcPr>
          <w:p>
            <w:pPr>
              <w:pStyle w:val="79"/>
              <w:spacing w:line="320" w:lineRule="exact"/>
              <w:rPr>
                <w:rFonts w:ascii="仿宋" w:hAnsi="仿宋" w:eastAsia="仿宋"/>
              </w:rPr>
            </w:pPr>
            <w:r>
              <w:rPr>
                <w:rFonts w:hint="eastAsia" w:ascii="仿宋" w:hAnsi="仿宋" w:eastAsia="仿宋" w:cs="Arial"/>
              </w:rPr>
              <w:t>甲类原料仓库</w:t>
            </w:r>
          </w:p>
        </w:tc>
        <w:tc>
          <w:tcPr>
            <w:tcW w:w="1862" w:type="dxa"/>
            <w:vAlign w:val="center"/>
          </w:tcPr>
          <w:p>
            <w:pPr>
              <w:pStyle w:val="79"/>
              <w:spacing w:line="320" w:lineRule="exact"/>
              <w:rPr>
                <w:rFonts w:ascii="仿宋" w:hAnsi="仿宋" w:eastAsia="仿宋"/>
              </w:rPr>
            </w:pPr>
            <w:r>
              <w:rPr>
                <w:rFonts w:hint="eastAsia" w:ascii="仿宋" w:hAnsi="仿宋" w:eastAsia="仿宋"/>
              </w:rPr>
              <w:t>12个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5</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hint="eastAsia" w:ascii="仿宋" w:hAnsi="仿宋" w:eastAsia="仿宋"/>
              </w:rPr>
              <w:t>MF8</w:t>
            </w:r>
          </w:p>
        </w:tc>
        <w:tc>
          <w:tcPr>
            <w:tcW w:w="2486" w:type="dxa"/>
            <w:vAlign w:val="center"/>
          </w:tcPr>
          <w:p>
            <w:pPr>
              <w:pStyle w:val="79"/>
              <w:spacing w:line="320" w:lineRule="exact"/>
              <w:rPr>
                <w:rFonts w:ascii="仿宋" w:hAnsi="仿宋" w:eastAsia="仿宋"/>
              </w:rPr>
            </w:pPr>
            <w:r>
              <w:rPr>
                <w:rFonts w:hint="eastAsia" w:ascii="仿宋" w:hAnsi="仿宋" w:eastAsia="仿宋" w:cs="Arial"/>
              </w:rPr>
              <w:t>丙类原料仓库</w:t>
            </w:r>
          </w:p>
        </w:tc>
        <w:tc>
          <w:tcPr>
            <w:tcW w:w="1862" w:type="dxa"/>
            <w:vAlign w:val="center"/>
          </w:tcPr>
          <w:p>
            <w:pPr>
              <w:pStyle w:val="79"/>
              <w:spacing w:line="320" w:lineRule="exact"/>
              <w:rPr>
                <w:rFonts w:ascii="仿宋" w:hAnsi="仿宋" w:eastAsia="仿宋"/>
              </w:rPr>
            </w:pPr>
            <w:r>
              <w:rPr>
                <w:rFonts w:hint="eastAsia" w:ascii="仿宋" w:hAnsi="仿宋" w:eastAsia="仿宋"/>
              </w:rPr>
              <w:t>12个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6</w:t>
            </w:r>
          </w:p>
        </w:tc>
        <w:tc>
          <w:tcPr>
            <w:tcW w:w="2494" w:type="dxa"/>
            <w:vAlign w:val="center"/>
          </w:tcPr>
          <w:p>
            <w:pPr>
              <w:pStyle w:val="79"/>
              <w:spacing w:line="320" w:lineRule="exact"/>
              <w:rPr>
                <w:rFonts w:ascii="仿宋" w:hAnsi="仿宋" w:eastAsia="仿宋"/>
              </w:rPr>
            </w:pPr>
            <w:r>
              <w:rPr>
                <w:rFonts w:hint="eastAsia" w:ascii="仿宋" w:hAnsi="仿宋" w:eastAsia="仿宋"/>
              </w:rPr>
              <w:t>手提</w:t>
            </w:r>
            <w:r>
              <w:rPr>
                <w:rFonts w:ascii="仿宋" w:hAnsi="仿宋" w:eastAsia="仿宋"/>
              </w:rPr>
              <w:t>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rPr>
              <w:t>空压站</w:t>
            </w:r>
          </w:p>
        </w:tc>
        <w:tc>
          <w:tcPr>
            <w:tcW w:w="1862" w:type="dxa"/>
            <w:vAlign w:val="center"/>
          </w:tcPr>
          <w:p>
            <w:pPr>
              <w:pStyle w:val="79"/>
              <w:spacing w:line="320" w:lineRule="exact"/>
              <w:rPr>
                <w:rFonts w:ascii="仿宋" w:hAnsi="仿宋" w:eastAsia="仿宋"/>
              </w:rPr>
            </w:pPr>
            <w:r>
              <w:rPr>
                <w:rFonts w:hint="eastAsia" w:ascii="仿宋" w:hAnsi="仿宋" w:eastAsia="仿宋"/>
              </w:rPr>
              <w:t>4个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00" w:hRule="atLeast"/>
          <w:jc w:val="center"/>
        </w:trPr>
        <w:tc>
          <w:tcPr>
            <w:tcW w:w="739" w:type="dxa"/>
            <w:vAlign w:val="center"/>
          </w:tcPr>
          <w:p>
            <w:pPr>
              <w:pStyle w:val="79"/>
              <w:spacing w:line="320" w:lineRule="exact"/>
              <w:rPr>
                <w:rFonts w:ascii="仿宋" w:hAnsi="仿宋" w:eastAsia="仿宋"/>
              </w:rPr>
            </w:pPr>
            <w:r>
              <w:rPr>
                <w:rFonts w:ascii="仿宋" w:hAnsi="仿宋" w:eastAsia="仿宋"/>
              </w:rPr>
              <w:t>7</w:t>
            </w:r>
          </w:p>
        </w:tc>
        <w:tc>
          <w:tcPr>
            <w:tcW w:w="2494" w:type="dxa"/>
            <w:vAlign w:val="center"/>
          </w:tcPr>
          <w:p>
            <w:pPr>
              <w:pStyle w:val="79"/>
              <w:spacing w:line="320" w:lineRule="exact"/>
              <w:rPr>
                <w:rFonts w:ascii="仿宋" w:hAnsi="仿宋" w:eastAsia="仿宋"/>
              </w:rPr>
            </w:pPr>
            <w:r>
              <w:rPr>
                <w:rFonts w:hint="eastAsia" w:ascii="仿宋" w:hAnsi="仿宋" w:eastAsia="仿宋" w:cs="Arial"/>
              </w:rPr>
              <w:t>手提式二氧化碳灭火器</w:t>
            </w:r>
          </w:p>
        </w:tc>
        <w:tc>
          <w:tcPr>
            <w:tcW w:w="1174" w:type="dxa"/>
            <w:vAlign w:val="center"/>
          </w:tcPr>
          <w:p>
            <w:pPr>
              <w:pStyle w:val="79"/>
              <w:spacing w:line="320" w:lineRule="exact"/>
              <w:rPr>
                <w:rFonts w:ascii="仿宋" w:hAnsi="仿宋" w:eastAsia="仿宋"/>
              </w:rPr>
            </w:pPr>
            <w:r>
              <w:rPr>
                <w:rFonts w:hint="eastAsia" w:ascii="仿宋" w:hAnsi="仿宋" w:eastAsia="仿宋" w:cs="Arial"/>
              </w:rPr>
              <w:t>MT7</w:t>
            </w:r>
          </w:p>
        </w:tc>
        <w:tc>
          <w:tcPr>
            <w:tcW w:w="2486" w:type="dxa"/>
            <w:vAlign w:val="center"/>
          </w:tcPr>
          <w:p>
            <w:pPr>
              <w:pStyle w:val="79"/>
              <w:spacing w:line="320" w:lineRule="exact"/>
              <w:rPr>
                <w:rFonts w:ascii="仿宋" w:hAnsi="仿宋" w:eastAsia="仿宋"/>
              </w:rPr>
            </w:pPr>
            <w:r>
              <w:rPr>
                <w:rFonts w:hint="eastAsia" w:ascii="仿宋" w:hAnsi="仿宋" w:eastAsia="仿宋"/>
              </w:rPr>
              <w:t>冷冻站</w:t>
            </w:r>
          </w:p>
        </w:tc>
        <w:tc>
          <w:tcPr>
            <w:tcW w:w="1862" w:type="dxa"/>
            <w:vAlign w:val="center"/>
          </w:tcPr>
          <w:p>
            <w:pPr>
              <w:pStyle w:val="79"/>
              <w:spacing w:line="320" w:lineRule="exact"/>
              <w:rPr>
                <w:rFonts w:ascii="仿宋" w:hAnsi="仿宋" w:eastAsia="仿宋"/>
              </w:rPr>
            </w:pPr>
            <w:r>
              <w:rPr>
                <w:rFonts w:hint="eastAsia" w:ascii="仿宋" w:hAnsi="仿宋" w:eastAsia="仿宋"/>
              </w:rPr>
              <w:t>2个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8</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rPr>
              <w:t>甲类罐区</w:t>
            </w:r>
          </w:p>
        </w:tc>
        <w:tc>
          <w:tcPr>
            <w:tcW w:w="1862" w:type="dxa"/>
            <w:vAlign w:val="center"/>
          </w:tcPr>
          <w:p>
            <w:pPr>
              <w:pStyle w:val="79"/>
              <w:spacing w:line="320" w:lineRule="exact"/>
              <w:rPr>
                <w:rFonts w:ascii="仿宋" w:hAnsi="仿宋" w:eastAsia="仿宋"/>
              </w:rPr>
            </w:pPr>
            <w:r>
              <w:rPr>
                <w:rFonts w:hint="eastAsia" w:ascii="仿宋" w:hAnsi="仿宋" w:eastAsia="仿宋"/>
              </w:rPr>
              <w:t>8个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15" w:hRule="atLeast"/>
          <w:jc w:val="center"/>
        </w:trPr>
        <w:tc>
          <w:tcPr>
            <w:tcW w:w="739" w:type="dxa"/>
            <w:vAlign w:val="center"/>
          </w:tcPr>
          <w:p>
            <w:pPr>
              <w:pStyle w:val="79"/>
              <w:spacing w:line="320" w:lineRule="exact"/>
              <w:rPr>
                <w:rFonts w:ascii="仿宋" w:hAnsi="仿宋" w:eastAsia="仿宋"/>
              </w:rPr>
            </w:pPr>
            <w:r>
              <w:rPr>
                <w:rFonts w:ascii="仿宋" w:hAnsi="仿宋" w:eastAsia="仿宋"/>
              </w:rPr>
              <w:t>9</w:t>
            </w:r>
          </w:p>
        </w:tc>
        <w:tc>
          <w:tcPr>
            <w:tcW w:w="2494" w:type="dxa"/>
            <w:vAlign w:val="center"/>
          </w:tcPr>
          <w:p>
            <w:pPr>
              <w:pStyle w:val="79"/>
              <w:spacing w:line="320" w:lineRule="exact"/>
              <w:rPr>
                <w:rFonts w:ascii="仿宋" w:hAnsi="仿宋" w:eastAsia="仿宋"/>
              </w:rPr>
            </w:pPr>
            <w:r>
              <w:rPr>
                <w:rFonts w:hint="eastAsia" w:ascii="仿宋" w:hAnsi="仿宋" w:eastAsia="仿宋" w:cs="Arial"/>
              </w:rPr>
              <w:t>手提式二氧化碳灭火器</w:t>
            </w:r>
          </w:p>
        </w:tc>
        <w:tc>
          <w:tcPr>
            <w:tcW w:w="1174" w:type="dxa"/>
            <w:vAlign w:val="center"/>
          </w:tcPr>
          <w:p>
            <w:pPr>
              <w:pStyle w:val="79"/>
              <w:spacing w:line="320" w:lineRule="exact"/>
              <w:rPr>
                <w:rFonts w:ascii="仿宋" w:hAnsi="仿宋" w:eastAsia="仿宋"/>
              </w:rPr>
            </w:pPr>
            <w:r>
              <w:rPr>
                <w:rFonts w:hint="eastAsia" w:ascii="仿宋" w:hAnsi="仿宋" w:eastAsia="仿宋" w:cs="Arial"/>
              </w:rPr>
              <w:t>MT7</w:t>
            </w:r>
          </w:p>
        </w:tc>
        <w:tc>
          <w:tcPr>
            <w:tcW w:w="2486" w:type="dxa"/>
            <w:vAlign w:val="center"/>
          </w:tcPr>
          <w:p>
            <w:pPr>
              <w:pStyle w:val="79"/>
              <w:spacing w:line="320" w:lineRule="exact"/>
              <w:rPr>
                <w:rFonts w:ascii="仿宋" w:hAnsi="仿宋" w:eastAsia="仿宋"/>
              </w:rPr>
            </w:pPr>
            <w:r>
              <w:rPr>
                <w:rFonts w:hint="eastAsia" w:ascii="仿宋" w:hAnsi="仿宋" w:eastAsia="仿宋"/>
              </w:rPr>
              <w:t>真空泵房</w:t>
            </w:r>
          </w:p>
        </w:tc>
        <w:tc>
          <w:tcPr>
            <w:tcW w:w="1862" w:type="dxa"/>
            <w:vAlign w:val="center"/>
          </w:tcPr>
          <w:p>
            <w:pPr>
              <w:pStyle w:val="79"/>
              <w:spacing w:line="320" w:lineRule="exact"/>
              <w:rPr>
                <w:rFonts w:ascii="仿宋" w:hAnsi="仿宋" w:eastAsia="仿宋"/>
              </w:rPr>
            </w:pPr>
            <w:r>
              <w:rPr>
                <w:rFonts w:ascii="仿宋" w:hAnsi="仿宋" w:eastAsia="仿宋"/>
              </w:rPr>
              <w:t>2</w:t>
            </w:r>
            <w:r>
              <w:rPr>
                <w:rFonts w:hint="eastAsia" w:ascii="仿宋" w:hAnsi="仿宋" w:eastAsia="仿宋"/>
              </w:rPr>
              <w:t>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ascii="仿宋" w:hAnsi="仿宋" w:eastAsia="仿宋"/>
              </w:rPr>
              <w:t>10</w:t>
            </w:r>
          </w:p>
        </w:tc>
        <w:tc>
          <w:tcPr>
            <w:tcW w:w="2494" w:type="dxa"/>
            <w:vAlign w:val="center"/>
          </w:tcPr>
          <w:p>
            <w:pPr>
              <w:pStyle w:val="79"/>
              <w:spacing w:line="320" w:lineRule="exact"/>
              <w:rPr>
                <w:rFonts w:ascii="仿宋" w:hAnsi="仿宋" w:eastAsia="仿宋"/>
              </w:rPr>
            </w:pPr>
            <w:r>
              <w:rPr>
                <w:rFonts w:ascii="仿宋" w:hAnsi="仿宋" w:eastAsia="仿宋"/>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cs="Arial"/>
              </w:rPr>
              <w:t>SGL干燥间</w:t>
            </w:r>
          </w:p>
        </w:tc>
        <w:tc>
          <w:tcPr>
            <w:tcW w:w="1862" w:type="dxa"/>
            <w:vAlign w:val="center"/>
          </w:tcPr>
          <w:p>
            <w:pPr>
              <w:pStyle w:val="79"/>
              <w:spacing w:line="320" w:lineRule="exact"/>
              <w:rPr>
                <w:rFonts w:ascii="仿宋" w:hAnsi="仿宋" w:eastAsia="仿宋"/>
              </w:rPr>
            </w:pPr>
            <w:r>
              <w:rPr>
                <w:rFonts w:hint="eastAsia" w:ascii="仿宋" w:hAnsi="仿宋" w:eastAsia="仿宋"/>
              </w:rPr>
              <w:t>4个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ascii="仿宋" w:hAnsi="仿宋" w:eastAsia="仿宋"/>
              </w:rPr>
              <w:t>11</w:t>
            </w:r>
          </w:p>
        </w:tc>
        <w:tc>
          <w:tcPr>
            <w:tcW w:w="2494" w:type="dxa"/>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rPr>
              <w:t>化料房</w:t>
            </w:r>
          </w:p>
        </w:tc>
        <w:tc>
          <w:tcPr>
            <w:tcW w:w="1862" w:type="dxa"/>
            <w:vAlign w:val="center"/>
          </w:tcPr>
          <w:p>
            <w:pPr>
              <w:pStyle w:val="79"/>
              <w:spacing w:line="320" w:lineRule="exact"/>
              <w:rPr>
                <w:rFonts w:ascii="仿宋" w:hAnsi="仿宋" w:eastAsia="仿宋"/>
              </w:rPr>
            </w:pPr>
            <w:r>
              <w:rPr>
                <w:rFonts w:ascii="仿宋" w:hAnsi="仿宋" w:eastAsia="仿宋"/>
              </w:rPr>
              <w:t>2</w:t>
            </w:r>
            <w:r>
              <w:rPr>
                <w:rFonts w:hint="eastAsia" w:ascii="仿宋" w:hAnsi="仿宋" w:eastAsia="仿宋"/>
              </w:rPr>
              <w:t>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hint="eastAsia" w:ascii="仿宋" w:hAnsi="仿宋" w:eastAsia="仿宋"/>
              </w:rPr>
              <w:t>12</w:t>
            </w:r>
          </w:p>
        </w:tc>
        <w:tc>
          <w:tcPr>
            <w:tcW w:w="2494" w:type="dxa"/>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rPr>
              <w:t>动力站</w:t>
            </w:r>
          </w:p>
        </w:tc>
        <w:tc>
          <w:tcPr>
            <w:tcW w:w="1862" w:type="dxa"/>
            <w:vAlign w:val="center"/>
          </w:tcPr>
          <w:p>
            <w:pPr>
              <w:pStyle w:val="79"/>
              <w:spacing w:line="320" w:lineRule="exact"/>
              <w:rPr>
                <w:rFonts w:ascii="仿宋" w:hAnsi="仿宋" w:eastAsia="仿宋"/>
              </w:rPr>
            </w:pPr>
            <w:r>
              <w:rPr>
                <w:rFonts w:ascii="仿宋" w:hAnsi="仿宋" w:eastAsia="仿宋"/>
              </w:rPr>
              <w:t>2</w:t>
            </w:r>
            <w:r>
              <w:rPr>
                <w:rFonts w:hint="eastAsia" w:ascii="仿宋" w:hAnsi="仿宋" w:eastAsia="仿宋"/>
              </w:rPr>
              <w:t>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hint="eastAsia" w:ascii="仿宋" w:hAnsi="仿宋" w:eastAsia="仿宋"/>
              </w:rPr>
              <w:t>13</w:t>
            </w:r>
          </w:p>
        </w:tc>
        <w:tc>
          <w:tcPr>
            <w:tcW w:w="2494" w:type="dxa"/>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8</w:t>
            </w:r>
          </w:p>
        </w:tc>
        <w:tc>
          <w:tcPr>
            <w:tcW w:w="2486" w:type="dxa"/>
            <w:vAlign w:val="center"/>
          </w:tcPr>
          <w:p>
            <w:pPr>
              <w:pStyle w:val="79"/>
              <w:spacing w:line="320" w:lineRule="exact"/>
              <w:rPr>
                <w:rFonts w:ascii="仿宋" w:hAnsi="仿宋" w:eastAsia="仿宋"/>
              </w:rPr>
            </w:pPr>
            <w:r>
              <w:rPr>
                <w:rFonts w:hint="eastAsia" w:ascii="仿宋" w:hAnsi="仿宋" w:eastAsia="仿宋"/>
              </w:rPr>
              <w:t>氯气房</w:t>
            </w:r>
          </w:p>
        </w:tc>
        <w:tc>
          <w:tcPr>
            <w:tcW w:w="1862" w:type="dxa"/>
            <w:vAlign w:val="center"/>
          </w:tcPr>
          <w:p>
            <w:pPr>
              <w:pStyle w:val="79"/>
              <w:spacing w:line="320" w:lineRule="exact"/>
              <w:rPr>
                <w:rFonts w:ascii="仿宋" w:hAnsi="仿宋" w:eastAsia="仿宋"/>
              </w:rPr>
            </w:pPr>
            <w:r>
              <w:rPr>
                <w:rFonts w:ascii="仿宋" w:hAnsi="仿宋" w:eastAsia="仿宋"/>
              </w:rPr>
              <w:t>2</w:t>
            </w:r>
            <w:r>
              <w:rPr>
                <w:rFonts w:hint="eastAsia" w:ascii="仿宋" w:hAnsi="仿宋" w:eastAsia="仿宋"/>
              </w:rPr>
              <w:t>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hint="eastAsia" w:ascii="仿宋" w:hAnsi="仿宋" w:eastAsia="仿宋"/>
              </w:rPr>
              <w:t>14</w:t>
            </w:r>
          </w:p>
        </w:tc>
        <w:tc>
          <w:tcPr>
            <w:tcW w:w="2494" w:type="dxa"/>
            <w:vAlign w:val="center"/>
          </w:tcPr>
          <w:p>
            <w:pPr>
              <w:pStyle w:val="79"/>
              <w:spacing w:line="320" w:lineRule="exact"/>
              <w:rPr>
                <w:rFonts w:ascii="仿宋" w:hAnsi="仿宋" w:eastAsia="仿宋"/>
              </w:rPr>
            </w:pPr>
            <w:r>
              <w:rPr>
                <w:rFonts w:hint="eastAsia" w:ascii="仿宋" w:hAnsi="仿宋" w:eastAsia="仿宋" w:cs="Arial"/>
              </w:rPr>
              <w:t>手提式二氧化碳灭火器</w:t>
            </w:r>
          </w:p>
        </w:tc>
        <w:tc>
          <w:tcPr>
            <w:tcW w:w="1174" w:type="dxa"/>
            <w:vAlign w:val="center"/>
          </w:tcPr>
          <w:p>
            <w:pPr>
              <w:pStyle w:val="79"/>
              <w:spacing w:line="320" w:lineRule="exact"/>
              <w:rPr>
                <w:rFonts w:ascii="仿宋" w:hAnsi="仿宋" w:eastAsia="仿宋"/>
              </w:rPr>
            </w:pPr>
            <w:r>
              <w:rPr>
                <w:rFonts w:hint="eastAsia" w:ascii="仿宋" w:hAnsi="仿宋" w:eastAsia="仿宋" w:cs="Arial"/>
              </w:rPr>
              <w:t>MT7</w:t>
            </w:r>
          </w:p>
        </w:tc>
        <w:tc>
          <w:tcPr>
            <w:tcW w:w="2486" w:type="dxa"/>
            <w:vAlign w:val="center"/>
          </w:tcPr>
          <w:p>
            <w:pPr>
              <w:pStyle w:val="79"/>
              <w:spacing w:line="320" w:lineRule="exact"/>
              <w:rPr>
                <w:rFonts w:ascii="仿宋" w:hAnsi="仿宋" w:eastAsia="仿宋"/>
              </w:rPr>
            </w:pPr>
            <w:r>
              <w:rPr>
                <w:rFonts w:hint="eastAsia" w:ascii="仿宋" w:hAnsi="仿宋" w:eastAsia="仿宋"/>
              </w:rPr>
              <w:t>变配电室</w:t>
            </w:r>
          </w:p>
        </w:tc>
        <w:tc>
          <w:tcPr>
            <w:tcW w:w="1862" w:type="dxa"/>
            <w:vAlign w:val="center"/>
          </w:tcPr>
          <w:p>
            <w:pPr>
              <w:pStyle w:val="79"/>
              <w:spacing w:line="320" w:lineRule="exact"/>
              <w:rPr>
                <w:rFonts w:ascii="仿宋" w:hAnsi="仿宋" w:eastAsia="仿宋"/>
              </w:rPr>
            </w:pPr>
            <w:r>
              <w:rPr>
                <w:rFonts w:hint="eastAsia" w:ascii="仿宋" w:hAnsi="仿宋" w:eastAsia="仿宋"/>
              </w:rPr>
              <w:t>2个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hint="eastAsia" w:ascii="仿宋" w:hAnsi="仿宋" w:eastAsia="仿宋"/>
              </w:rPr>
              <w:t>15</w:t>
            </w:r>
          </w:p>
        </w:tc>
        <w:tc>
          <w:tcPr>
            <w:tcW w:w="2494" w:type="dxa"/>
            <w:vAlign w:val="center"/>
          </w:tcPr>
          <w:p>
            <w:pPr>
              <w:pStyle w:val="79"/>
              <w:spacing w:line="320" w:lineRule="exact"/>
              <w:rPr>
                <w:rFonts w:ascii="仿宋" w:hAnsi="仿宋" w:eastAsia="仿宋"/>
              </w:rPr>
            </w:pPr>
            <w:r>
              <w:rPr>
                <w:rFonts w:hint="eastAsia" w:ascii="仿宋" w:hAnsi="仿宋" w:eastAsia="仿宋" w:cs="Arial"/>
              </w:rPr>
              <w:t>手提式二氧化碳灭火器</w:t>
            </w:r>
          </w:p>
        </w:tc>
        <w:tc>
          <w:tcPr>
            <w:tcW w:w="1174" w:type="dxa"/>
            <w:vAlign w:val="center"/>
          </w:tcPr>
          <w:p>
            <w:pPr>
              <w:pStyle w:val="79"/>
              <w:spacing w:line="320" w:lineRule="exact"/>
              <w:rPr>
                <w:rFonts w:ascii="仿宋" w:hAnsi="仿宋" w:eastAsia="仿宋"/>
              </w:rPr>
            </w:pPr>
            <w:r>
              <w:rPr>
                <w:rFonts w:hint="eastAsia" w:ascii="仿宋" w:hAnsi="仿宋" w:eastAsia="仿宋" w:cs="Arial"/>
              </w:rPr>
              <w:t>MT7</w:t>
            </w:r>
          </w:p>
        </w:tc>
        <w:tc>
          <w:tcPr>
            <w:tcW w:w="2486" w:type="dxa"/>
            <w:vAlign w:val="center"/>
          </w:tcPr>
          <w:p>
            <w:pPr>
              <w:pStyle w:val="79"/>
              <w:spacing w:line="320" w:lineRule="exact"/>
              <w:rPr>
                <w:rFonts w:ascii="仿宋" w:hAnsi="仿宋" w:eastAsia="仿宋"/>
              </w:rPr>
            </w:pPr>
            <w:r>
              <w:rPr>
                <w:rFonts w:hint="eastAsia" w:ascii="仿宋" w:hAnsi="仿宋" w:eastAsia="仿宋"/>
              </w:rPr>
              <w:t>控制室</w:t>
            </w:r>
          </w:p>
        </w:tc>
        <w:tc>
          <w:tcPr>
            <w:tcW w:w="1862" w:type="dxa"/>
            <w:vAlign w:val="center"/>
          </w:tcPr>
          <w:p>
            <w:pPr>
              <w:pStyle w:val="79"/>
              <w:spacing w:line="320" w:lineRule="exact"/>
              <w:rPr>
                <w:rFonts w:ascii="仿宋" w:hAnsi="仿宋" w:eastAsia="仿宋"/>
              </w:rPr>
            </w:pPr>
            <w:r>
              <w:rPr>
                <w:rFonts w:hint="eastAsia" w:ascii="仿宋" w:hAnsi="仿宋" w:eastAsia="仿宋"/>
              </w:rPr>
              <w:t>2个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739" w:type="dxa"/>
            <w:vAlign w:val="center"/>
          </w:tcPr>
          <w:p>
            <w:pPr>
              <w:pStyle w:val="79"/>
              <w:spacing w:line="320" w:lineRule="exact"/>
              <w:rPr>
                <w:rFonts w:ascii="仿宋" w:hAnsi="仿宋" w:eastAsia="仿宋"/>
              </w:rPr>
            </w:pPr>
            <w:r>
              <w:rPr>
                <w:rFonts w:hint="eastAsia" w:ascii="仿宋" w:hAnsi="仿宋" w:eastAsia="仿宋"/>
              </w:rPr>
              <w:t>16</w:t>
            </w:r>
          </w:p>
        </w:tc>
        <w:tc>
          <w:tcPr>
            <w:tcW w:w="2494" w:type="dxa"/>
          </w:tcPr>
          <w:p>
            <w:pPr>
              <w:adjustRightInd w:val="0"/>
              <w:snapToGrid w:val="0"/>
              <w:spacing w:line="320" w:lineRule="exact"/>
              <w:jc w:val="center"/>
              <w:rPr>
                <w:rFonts w:ascii="仿宋" w:hAnsi="仿宋" w:eastAsia="仿宋"/>
                <w:sz w:val="21"/>
                <w:szCs w:val="21"/>
              </w:rPr>
            </w:pPr>
            <w:r>
              <w:rPr>
                <w:rFonts w:ascii="仿宋" w:hAnsi="仿宋" w:eastAsia="仿宋"/>
                <w:sz w:val="21"/>
                <w:szCs w:val="21"/>
              </w:rPr>
              <w:t>手提式灭火器</w:t>
            </w:r>
          </w:p>
        </w:tc>
        <w:tc>
          <w:tcPr>
            <w:tcW w:w="1174" w:type="dxa"/>
            <w:vAlign w:val="center"/>
          </w:tcPr>
          <w:p>
            <w:pPr>
              <w:pStyle w:val="79"/>
              <w:spacing w:line="320" w:lineRule="exact"/>
              <w:rPr>
                <w:rFonts w:ascii="仿宋" w:hAnsi="仿宋" w:eastAsia="仿宋"/>
              </w:rPr>
            </w:pPr>
            <w:r>
              <w:rPr>
                <w:rFonts w:ascii="仿宋" w:hAnsi="仿宋" w:eastAsia="仿宋"/>
              </w:rPr>
              <w:t>MF</w:t>
            </w:r>
            <w:r>
              <w:rPr>
                <w:rFonts w:hint="eastAsia" w:ascii="仿宋" w:hAnsi="仿宋" w:eastAsia="仿宋"/>
              </w:rPr>
              <w:t>4</w:t>
            </w:r>
          </w:p>
        </w:tc>
        <w:tc>
          <w:tcPr>
            <w:tcW w:w="2486" w:type="dxa"/>
            <w:vAlign w:val="center"/>
          </w:tcPr>
          <w:p>
            <w:pPr>
              <w:pStyle w:val="79"/>
              <w:spacing w:line="320" w:lineRule="exact"/>
              <w:rPr>
                <w:rFonts w:ascii="仿宋" w:hAnsi="仿宋" w:eastAsia="仿宋"/>
              </w:rPr>
            </w:pPr>
            <w:r>
              <w:rPr>
                <w:rFonts w:hint="eastAsia" w:ascii="仿宋" w:hAnsi="仿宋" w:eastAsia="仿宋"/>
              </w:rPr>
              <w:t>综合楼</w:t>
            </w:r>
          </w:p>
        </w:tc>
        <w:tc>
          <w:tcPr>
            <w:tcW w:w="1862" w:type="dxa"/>
            <w:vAlign w:val="center"/>
          </w:tcPr>
          <w:p>
            <w:pPr>
              <w:pStyle w:val="79"/>
              <w:spacing w:line="320" w:lineRule="exact"/>
              <w:rPr>
                <w:rFonts w:ascii="仿宋" w:hAnsi="仿宋" w:eastAsia="仿宋"/>
              </w:rPr>
            </w:pPr>
            <w:r>
              <w:rPr>
                <w:rFonts w:hint="eastAsia" w:ascii="仿宋" w:hAnsi="仿宋" w:eastAsia="仿宋"/>
              </w:rPr>
              <w:t>4个/层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77" w:hRule="atLeast"/>
          <w:jc w:val="center"/>
        </w:trPr>
        <w:tc>
          <w:tcPr>
            <w:tcW w:w="6893" w:type="dxa"/>
            <w:gridSpan w:val="4"/>
            <w:vAlign w:val="center"/>
          </w:tcPr>
          <w:p>
            <w:pPr>
              <w:pStyle w:val="79"/>
              <w:spacing w:line="320" w:lineRule="exact"/>
              <w:rPr>
                <w:rFonts w:ascii="仿宋" w:hAnsi="仿宋" w:eastAsia="仿宋"/>
              </w:rPr>
            </w:pPr>
            <w:r>
              <w:rPr>
                <w:rFonts w:hint="eastAsia" w:ascii="仿宋" w:hAnsi="仿宋" w:eastAsia="仿宋"/>
              </w:rPr>
              <w:t>合计</w:t>
            </w:r>
          </w:p>
        </w:tc>
        <w:tc>
          <w:tcPr>
            <w:tcW w:w="1862" w:type="dxa"/>
            <w:vAlign w:val="center"/>
          </w:tcPr>
          <w:p>
            <w:pPr>
              <w:pStyle w:val="79"/>
              <w:spacing w:line="320" w:lineRule="exact"/>
              <w:rPr>
                <w:rFonts w:ascii="仿宋" w:hAnsi="仿宋" w:eastAsia="仿宋"/>
              </w:rPr>
            </w:pPr>
            <w:r>
              <w:rPr>
                <w:rFonts w:hint="eastAsia" w:ascii="仿宋" w:hAnsi="仿宋" w:eastAsia="仿宋"/>
              </w:rPr>
              <w:t>196个</w:t>
            </w:r>
          </w:p>
        </w:tc>
      </w:tr>
    </w:tbl>
    <w:p>
      <w:pPr>
        <w:pStyle w:val="35"/>
        <w:spacing w:line="520" w:lineRule="exact"/>
        <w:rPr>
          <w:rFonts w:eastAsia="黑体"/>
          <w:b/>
          <w:szCs w:val="24"/>
        </w:rPr>
      </w:pPr>
      <w:r>
        <w:rPr>
          <w:rFonts w:ascii="仿宋" w:hAnsi="仿宋" w:eastAsia="仿宋" w:cs="Arial"/>
          <w:b/>
          <w:kern w:val="0"/>
          <w:sz w:val="24"/>
          <w:szCs w:val="24"/>
        </w:rPr>
        <w:t>可燃气体检测报警仪安装情况一览表</w:t>
      </w:r>
    </w:p>
    <w:tbl>
      <w:tblPr>
        <w:tblStyle w:val="26"/>
        <w:tblW w:w="8676"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033"/>
        <w:gridCol w:w="3162"/>
        <w:gridCol w:w="2691"/>
        <w:gridCol w:w="17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70" w:hRule="atLeast"/>
          <w:tblHeader/>
          <w:jc w:val="center"/>
        </w:trPr>
        <w:tc>
          <w:tcPr>
            <w:tcW w:w="1033"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序号</w:t>
            </w:r>
          </w:p>
        </w:tc>
        <w:tc>
          <w:tcPr>
            <w:tcW w:w="3162"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设置位置</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类  型</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数量（台/套）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1</w:t>
            </w:r>
          </w:p>
        </w:tc>
        <w:tc>
          <w:tcPr>
            <w:tcW w:w="3162"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罐区</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可燃气体报警仪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2</w:t>
            </w:r>
          </w:p>
        </w:tc>
        <w:tc>
          <w:tcPr>
            <w:tcW w:w="3162"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MNBA、HGSXFT车间</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可燃气体报警仪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3</w:t>
            </w:r>
          </w:p>
        </w:tc>
        <w:tc>
          <w:tcPr>
            <w:tcW w:w="3162"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OASE、DCAP车间</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可燃气体报警仪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3162"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有毒</w:t>
            </w:r>
            <w:r>
              <w:rPr>
                <w:rFonts w:ascii="仿宋" w:hAnsi="仿宋" w:eastAsia="仿宋"/>
                <w:snapToGrid w:val="0"/>
              </w:rPr>
              <w:t>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4</w:t>
            </w:r>
          </w:p>
        </w:tc>
        <w:tc>
          <w:tcPr>
            <w:tcW w:w="3162"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SGL车间</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可燃气体报警仪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3162"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有毒</w:t>
            </w:r>
            <w:r>
              <w:rPr>
                <w:rFonts w:ascii="仿宋" w:hAnsi="仿宋" w:eastAsia="仿宋"/>
                <w:snapToGrid w:val="0"/>
              </w:rPr>
              <w:t>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5</w:t>
            </w:r>
          </w:p>
        </w:tc>
        <w:tc>
          <w:tcPr>
            <w:tcW w:w="3162" w:type="dxa"/>
            <w:vMerge w:val="restart"/>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甲类原料仓库</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ascii="仿宋" w:hAnsi="仿宋" w:eastAsia="仿宋"/>
                <w:snapToGrid w:val="0"/>
              </w:rPr>
              <w:t>可燃气体报警仪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3162" w:type="dxa"/>
            <w:vMerge w:val="continue"/>
            <w:tcMar>
              <w:top w:w="57" w:type="dxa"/>
              <w:left w:w="85" w:type="dxa"/>
              <w:bottom w:w="57" w:type="dxa"/>
              <w:right w:w="85" w:type="dxa"/>
            </w:tcMar>
            <w:vAlign w:val="center"/>
          </w:tcPr>
          <w:p>
            <w:pPr>
              <w:pStyle w:val="20"/>
              <w:rPr>
                <w:rFonts w:ascii="仿宋" w:hAnsi="仿宋" w:eastAsia="仿宋"/>
                <w:snapToGrid w:val="0"/>
              </w:rPr>
            </w:pP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有毒</w:t>
            </w:r>
            <w:r>
              <w:rPr>
                <w:rFonts w:ascii="仿宋" w:hAnsi="仿宋" w:eastAsia="仿宋"/>
                <w:snapToGrid w:val="0"/>
              </w:rPr>
              <w:t>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3" w:hRule="atLeast"/>
          <w:jc w:val="center"/>
        </w:trPr>
        <w:tc>
          <w:tcPr>
            <w:tcW w:w="1033"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6</w:t>
            </w:r>
          </w:p>
        </w:tc>
        <w:tc>
          <w:tcPr>
            <w:tcW w:w="3162"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氯气房</w:t>
            </w:r>
          </w:p>
        </w:tc>
        <w:tc>
          <w:tcPr>
            <w:tcW w:w="2691"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有毒</w:t>
            </w:r>
            <w:r>
              <w:rPr>
                <w:rFonts w:ascii="仿宋" w:hAnsi="仿宋" w:eastAsia="仿宋"/>
                <w:snapToGrid w:val="0"/>
              </w:rPr>
              <w:t>气体报警仪</w:t>
            </w:r>
          </w:p>
        </w:tc>
        <w:tc>
          <w:tcPr>
            <w:tcW w:w="1790" w:type="dxa"/>
            <w:tcMar>
              <w:top w:w="57" w:type="dxa"/>
              <w:left w:w="85" w:type="dxa"/>
              <w:bottom w:w="57" w:type="dxa"/>
              <w:right w:w="85" w:type="dxa"/>
            </w:tcMar>
            <w:vAlign w:val="center"/>
          </w:tcPr>
          <w:p>
            <w:pPr>
              <w:pStyle w:val="20"/>
              <w:rPr>
                <w:rFonts w:ascii="仿宋" w:hAnsi="仿宋" w:eastAsia="仿宋"/>
                <w:snapToGrid w:val="0"/>
              </w:rPr>
            </w:pPr>
            <w:r>
              <w:rPr>
                <w:rFonts w:hint="eastAsia" w:ascii="仿宋" w:hAnsi="仿宋" w:eastAsia="仿宋"/>
                <w:snapToGrid w:val="0"/>
              </w:rPr>
              <w:t>1</w:t>
            </w:r>
          </w:p>
        </w:tc>
      </w:tr>
    </w:tbl>
    <w:p>
      <w:pPr>
        <w:snapToGrid w:val="0"/>
        <w:spacing w:line="360" w:lineRule="auto"/>
        <w:jc w:val="center"/>
        <w:rPr>
          <w:rFonts w:ascii="仿宋_GB2312" w:hAnsi="华文细黑" w:eastAsia="仿宋_GB2312"/>
          <w:sz w:val="28"/>
          <w:szCs w:val="28"/>
        </w:rPr>
      </w:pPr>
      <w:r>
        <w:rPr>
          <w:rFonts w:ascii="仿宋_GB2312" w:hAnsi="华文细黑" w:eastAsia="仿宋_GB2312"/>
          <w:sz w:val="28"/>
          <w:szCs w:val="28"/>
        </w:rPr>
        <w:drawing>
          <wp:inline distT="0" distB="0" distL="0" distR="0">
            <wp:extent cx="5407025" cy="8229600"/>
            <wp:effectExtent l="19050" t="0" r="2889" b="0"/>
            <wp:docPr id="14" name="图片 14" descr="C:\Users\lenovo\Desktop\消防设施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lenovo\Desktop\消防设施图.jpg"/>
                    <pic:cNvPicPr>
                      <a:picLocks noChangeAspect="1" noChangeArrowheads="1"/>
                    </pic:cNvPicPr>
                  </pic:nvPicPr>
                  <pic:blipFill>
                    <a:blip r:embed="rId30"/>
                    <a:srcRect l="1776" t="3145" r="53352"/>
                    <a:stretch>
                      <a:fillRect/>
                    </a:stretch>
                  </pic:blipFill>
                  <pic:spPr>
                    <a:xfrm>
                      <a:off x="0" y="0"/>
                      <a:ext cx="5407311" cy="8229600"/>
                    </a:xfrm>
                    <a:prstGeom prst="rect">
                      <a:avLst/>
                    </a:prstGeom>
                    <a:noFill/>
                    <a:ln w="9525">
                      <a:noFill/>
                      <a:miter lim="800000"/>
                      <a:headEnd/>
                      <a:tailEnd/>
                    </a:ln>
                  </pic:spPr>
                </pic:pic>
              </a:graphicData>
            </a:graphic>
          </wp:inline>
        </w:drawing>
      </w:r>
    </w:p>
    <w:p>
      <w:pPr>
        <w:snapToGrid w:val="0"/>
        <w:spacing w:line="360" w:lineRule="auto"/>
        <w:ind w:firstLine="482" w:firstLineChars="200"/>
        <w:jc w:val="center"/>
        <w:rPr>
          <w:rFonts w:ascii="仿宋_GB2312" w:hAnsi="华文细黑" w:eastAsia="仿宋_GB2312"/>
          <w:b/>
          <w:sz w:val="24"/>
          <w:szCs w:val="24"/>
        </w:rPr>
      </w:pPr>
      <w:r>
        <w:rPr>
          <w:rFonts w:hint="eastAsia" w:ascii="仿宋_GB2312" w:hAnsi="华文细黑" w:eastAsia="仿宋_GB2312"/>
          <w:b/>
          <w:sz w:val="24"/>
          <w:szCs w:val="24"/>
        </w:rPr>
        <w:t>消防设施分布图</w:t>
      </w:r>
    </w:p>
    <w:p>
      <w:pPr>
        <w:widowControl/>
        <w:jc w:val="left"/>
        <w:rPr>
          <w:rFonts w:ascii="仿宋_GB2312" w:hAnsi="华文细黑" w:eastAsia="仿宋_GB2312"/>
          <w:b/>
          <w:sz w:val="24"/>
          <w:szCs w:val="24"/>
        </w:rPr>
      </w:pPr>
      <w:r>
        <w:rPr>
          <w:rFonts w:ascii="仿宋_GB2312" w:hAnsi="华文细黑" w:eastAsia="仿宋_GB2312"/>
          <w:b/>
          <w:sz w:val="24"/>
          <w:szCs w:val="24"/>
        </w:rPr>
        <w:br w:type="page"/>
      </w:r>
    </w:p>
    <w:p>
      <w:pPr>
        <w:snapToGrid w:val="0"/>
        <w:spacing w:line="360" w:lineRule="auto"/>
        <w:rPr>
          <w:rFonts w:ascii="仿宋_GB2312" w:hAnsi="华文细黑" w:eastAsia="仿宋_GB2312"/>
          <w:sz w:val="24"/>
          <w:szCs w:val="24"/>
        </w:rPr>
      </w:pPr>
      <w:r>
        <w:rPr>
          <w:rFonts w:hint="eastAsia" w:ascii="仿宋_GB2312" w:hAnsi="华文细黑" w:eastAsia="仿宋_GB2312"/>
          <w:sz w:val="24"/>
          <w:szCs w:val="24"/>
        </w:rPr>
        <w:t>附图7：雨水系统走向图</w:t>
      </w:r>
    </w:p>
    <w:p>
      <w:pPr>
        <w:widowControl/>
        <w:jc w:val="left"/>
        <w:rPr>
          <w:rFonts w:ascii="仿宋_GB2312" w:hAnsi="华文细黑" w:eastAsia="仿宋_GB2312"/>
          <w:sz w:val="24"/>
          <w:szCs w:val="24"/>
        </w:rPr>
      </w:pPr>
      <w:r>
        <w:rPr>
          <w:rFonts w:ascii="仿宋_GB2312" w:hAnsi="华文细黑" w:eastAsia="仿宋_GB2312"/>
          <w:sz w:val="24"/>
          <w:szCs w:val="24"/>
        </w:rPr>
        <w:drawing>
          <wp:inline distT="0" distB="0" distL="0" distR="0">
            <wp:extent cx="5701030" cy="7143750"/>
            <wp:effectExtent l="19050" t="0" r="0" b="0"/>
            <wp:docPr id="13" name="图片 15" descr="C:\Users\lenovo\Desktop\雨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C:\Users\lenovo\Desktop\雨水.jpg"/>
                    <pic:cNvPicPr>
                      <a:picLocks noChangeAspect="1" noChangeArrowheads="1"/>
                    </pic:cNvPicPr>
                  </pic:nvPicPr>
                  <pic:blipFill>
                    <a:blip r:embed="rId31"/>
                    <a:srcRect r="43643"/>
                    <a:stretch>
                      <a:fillRect/>
                    </a:stretch>
                  </pic:blipFill>
                  <pic:spPr>
                    <a:xfrm>
                      <a:off x="0" y="0"/>
                      <a:ext cx="5704457" cy="7147963"/>
                    </a:xfrm>
                    <a:prstGeom prst="rect">
                      <a:avLst/>
                    </a:prstGeom>
                    <a:noFill/>
                    <a:ln w="9525">
                      <a:noFill/>
                      <a:miter lim="800000"/>
                      <a:headEnd/>
                      <a:tailEnd/>
                    </a:ln>
                  </pic:spPr>
                </pic:pic>
              </a:graphicData>
            </a:graphic>
          </wp:inline>
        </w:drawing>
      </w:r>
    </w:p>
    <w:p>
      <w:pPr>
        <w:widowControl/>
        <w:jc w:val="left"/>
        <w:rPr>
          <w:rFonts w:ascii="仿宋_GB2312" w:hAnsi="华文细黑" w:eastAsia="仿宋_GB2312"/>
          <w:sz w:val="24"/>
          <w:szCs w:val="24"/>
        </w:rPr>
      </w:pPr>
      <w:r>
        <w:rPr>
          <w:rFonts w:ascii="仿宋_GB2312" w:hAnsi="华文细黑" w:eastAsia="仿宋_GB2312"/>
          <w:sz w:val="24"/>
          <w:szCs w:val="24"/>
        </w:rPr>
        <w:br w:type="page"/>
      </w:r>
    </w:p>
    <w:p>
      <w:pPr>
        <w:snapToGrid w:val="0"/>
        <w:spacing w:line="360" w:lineRule="auto"/>
        <w:rPr>
          <w:rFonts w:ascii="仿宋_GB2312" w:hAnsi="华文细黑" w:eastAsia="仿宋_GB2312"/>
          <w:sz w:val="24"/>
          <w:szCs w:val="24"/>
        </w:rPr>
      </w:pPr>
      <w:r>
        <w:rPr>
          <w:rFonts w:hint="eastAsia" w:ascii="仿宋_GB2312" w:hAnsi="华文细黑" w:eastAsia="仿宋_GB2312"/>
          <w:sz w:val="24"/>
          <w:szCs w:val="24"/>
        </w:rPr>
        <w:t>附图8：污水系统走向图</w:t>
      </w:r>
    </w:p>
    <w:p>
      <w:pPr>
        <w:widowControl/>
        <w:jc w:val="left"/>
        <w:rPr>
          <w:rFonts w:ascii="仿宋_GB2312" w:hAnsi="华文细黑" w:eastAsia="仿宋_GB2312"/>
          <w:sz w:val="24"/>
          <w:szCs w:val="24"/>
        </w:rPr>
      </w:pPr>
      <w:r>
        <w:rPr>
          <w:rFonts w:ascii="仿宋_GB2312" w:hAnsi="华文细黑" w:eastAsia="仿宋_GB2312"/>
          <w:sz w:val="24"/>
          <w:szCs w:val="24"/>
        </w:rPr>
        <w:drawing>
          <wp:inline distT="0" distB="0" distL="0" distR="0">
            <wp:extent cx="5482590" cy="8105775"/>
            <wp:effectExtent l="19050" t="0" r="3662" b="0"/>
            <wp:docPr id="16" name="图片 16" descr="C:\Users\lenovo\Desktop\污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lenovo\Desktop\污水.jpg"/>
                    <pic:cNvPicPr>
                      <a:picLocks noChangeAspect="1" noChangeArrowheads="1"/>
                    </pic:cNvPicPr>
                  </pic:nvPicPr>
                  <pic:blipFill>
                    <a:blip r:embed="rId32"/>
                    <a:srcRect r="52234"/>
                    <a:stretch>
                      <a:fillRect/>
                    </a:stretch>
                  </pic:blipFill>
                  <pic:spPr>
                    <a:xfrm>
                      <a:off x="0" y="0"/>
                      <a:ext cx="5486226" cy="8110931"/>
                    </a:xfrm>
                    <a:prstGeom prst="rect">
                      <a:avLst/>
                    </a:prstGeom>
                    <a:noFill/>
                    <a:ln w="9525">
                      <a:noFill/>
                      <a:miter lim="800000"/>
                      <a:headEnd/>
                      <a:tailEnd/>
                    </a:ln>
                  </pic:spPr>
                </pic:pic>
              </a:graphicData>
            </a:graphic>
          </wp:inline>
        </w:drawing>
      </w:r>
    </w:p>
    <w:p>
      <w:pPr>
        <w:widowControl/>
        <w:jc w:val="left"/>
        <w:rPr>
          <w:rFonts w:ascii="仿宋_GB2312" w:hAnsi="华文细黑" w:eastAsia="仿宋_GB2312"/>
          <w:sz w:val="24"/>
          <w:szCs w:val="24"/>
        </w:rPr>
      </w:pPr>
      <w:bookmarkStart w:id="226" w:name="_Toc410289831"/>
      <w:bookmarkStart w:id="227" w:name="_Toc404851288"/>
      <w:r>
        <w:rPr>
          <w:rFonts w:ascii="仿宋_GB2312" w:hAnsi="华文细黑" w:eastAsia="仿宋_GB2312"/>
          <w:sz w:val="24"/>
          <w:szCs w:val="24"/>
        </w:rPr>
        <w:br w:type="page"/>
      </w:r>
    </w:p>
    <w:p>
      <w:pPr>
        <w:snapToGrid w:val="0"/>
        <w:spacing w:line="360" w:lineRule="auto"/>
        <w:rPr>
          <w:rFonts w:hint="eastAsia" w:ascii="仿宋_GB2312" w:hAnsi="华文细黑" w:eastAsia="仿宋_GB2312"/>
          <w:sz w:val="24"/>
          <w:szCs w:val="24"/>
        </w:rPr>
      </w:pPr>
      <w:r>
        <w:rPr>
          <w:rFonts w:hint="eastAsia" w:ascii="仿宋_GB2312" w:hAnsi="华文细黑" w:eastAsia="仿宋_GB2312"/>
          <w:sz w:val="24"/>
          <w:szCs w:val="24"/>
        </w:rPr>
        <w:t>附图9：应急疏散</w:t>
      </w:r>
      <w:bookmarkEnd w:id="226"/>
      <w:bookmarkEnd w:id="227"/>
      <w:r>
        <w:rPr>
          <w:rFonts w:hint="eastAsia" w:ascii="仿宋_GB2312" w:hAnsi="华文细黑" w:eastAsia="仿宋_GB2312"/>
          <w:sz w:val="24"/>
          <w:szCs w:val="24"/>
        </w:rPr>
        <w:t>图</w:t>
      </w:r>
    </w:p>
    <w:p>
      <w:pPr>
        <w:snapToGrid w:val="0"/>
        <w:spacing w:line="360" w:lineRule="auto"/>
        <w:rPr>
          <w:rFonts w:hint="eastAsia" w:ascii="仿宋_GB2312" w:hAnsi="华文细黑" w:eastAsia="仿宋_GB2312"/>
          <w:sz w:val="28"/>
          <w:szCs w:val="28"/>
          <w:lang w:eastAsia="zh-CN"/>
        </w:rPr>
        <w:sectPr>
          <w:headerReference r:id="rId8" w:type="default"/>
          <w:pgSz w:w="11906" w:h="16838"/>
          <w:pgMar w:top="1361" w:right="1588" w:bottom="1361" w:left="1588" w:header="851" w:footer="992" w:gutter="0"/>
          <w:cols w:space="720" w:num="1"/>
          <w:docGrid w:type="lines" w:linePitch="312" w:charSpace="0"/>
        </w:sectPr>
      </w:pPr>
      <w:bookmarkStart w:id="229" w:name="_GoBack"/>
      <w:r>
        <w:rPr>
          <w:rFonts w:hint="eastAsia" w:ascii="仿宋_GB2312" w:hAnsi="华文细黑" w:eastAsia="仿宋_GB2312"/>
          <w:sz w:val="28"/>
          <w:szCs w:val="28"/>
          <w:lang w:eastAsia="zh-CN"/>
        </w:rPr>
        <w:drawing>
          <wp:inline distT="0" distB="0" distL="114300" distR="114300">
            <wp:extent cx="5655310" cy="7800340"/>
            <wp:effectExtent l="0" t="0" r="2540" b="10160"/>
            <wp:docPr id="3" name="图片 3" descr="污水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污水 - 副本"/>
                    <pic:cNvPicPr>
                      <a:picLocks noChangeAspect="1"/>
                    </pic:cNvPicPr>
                  </pic:nvPicPr>
                  <pic:blipFill>
                    <a:blip r:embed="rId33"/>
                    <a:srcRect t="4156" r="52957" b="4026"/>
                    <a:stretch>
                      <a:fillRect/>
                    </a:stretch>
                  </pic:blipFill>
                  <pic:spPr>
                    <a:xfrm>
                      <a:off x="0" y="0"/>
                      <a:ext cx="5655310" cy="7800340"/>
                    </a:xfrm>
                    <a:prstGeom prst="rect">
                      <a:avLst/>
                    </a:prstGeom>
                  </pic:spPr>
                </pic:pic>
              </a:graphicData>
            </a:graphic>
          </wp:inline>
        </w:drawing>
      </w:r>
      <w:bookmarkEnd w:id="229"/>
    </w:p>
    <w:bookmarkEnd w:id="224"/>
    <w:bookmarkEnd w:id="225"/>
    <w:p>
      <w:pPr>
        <w:snapToGrid w:val="0"/>
        <w:spacing w:line="360" w:lineRule="auto"/>
        <w:rPr>
          <w:rFonts w:ascii="仿宋_GB2312" w:hAnsi="华文细黑" w:eastAsia="仿宋_GB2312"/>
          <w:sz w:val="24"/>
          <w:szCs w:val="24"/>
        </w:rPr>
      </w:pPr>
      <w:bookmarkStart w:id="228" w:name="_Toc410289833"/>
      <w:r>
        <w:rPr>
          <w:rFonts w:hint="eastAsia" w:ascii="仿宋_GB2312" w:hAnsi="华文细黑" w:eastAsia="仿宋_GB2312"/>
          <w:sz w:val="24"/>
          <w:szCs w:val="24"/>
        </w:rPr>
        <w:t>附图10：应急工作流程图</w:t>
      </w:r>
      <w:bookmarkEnd w:id="228"/>
    </w:p>
    <w:p>
      <w:pPr>
        <w:snapToGrid w:val="0"/>
        <w:spacing w:line="360" w:lineRule="auto"/>
        <w:jc w:val="center"/>
        <w:rPr>
          <w:rFonts w:ascii="仿宋_GB2312" w:hAnsi="华文细黑" w:eastAsia="仿宋_GB2312"/>
          <w:b/>
          <w:sz w:val="28"/>
          <w:szCs w:val="28"/>
        </w:rPr>
      </w:pPr>
      <w:r>
        <w:object>
          <v:shape id="_x0000_i1027" o:spt="75" type="#_x0000_t75" style="height:567pt;width:394.5pt;" o:ole="t" filled="f" o:preferrelative="t" stroked="f" coordsize="21600,21600">
            <v:path/>
            <v:fill on="f" focussize="0,0"/>
            <v:stroke on="f" joinstyle="miter"/>
            <v:imagedata r:id="rId35" o:title=""/>
            <o:lock v:ext="edit" aspectratio="t"/>
            <w10:wrap type="none"/>
            <w10:anchorlock/>
          </v:shape>
          <o:OLEObject Type="Embed" ProgID="Visio.Drawing.11" ShapeID="_x0000_i1027" DrawAspect="Content" ObjectID="_1468075727" r:id="rId34">
            <o:LockedField>false</o:LockedField>
          </o:OLEObject>
        </w:object>
      </w:r>
    </w:p>
    <w:p>
      <w:pPr>
        <w:snapToGrid w:val="0"/>
        <w:spacing w:line="360" w:lineRule="auto"/>
        <w:jc w:val="center"/>
        <w:rPr>
          <w:rFonts w:ascii="仿宋_GB2312" w:hAnsi="华文细黑" w:eastAsia="仿宋_GB2312"/>
          <w:b/>
          <w:sz w:val="28"/>
          <w:szCs w:val="28"/>
        </w:rPr>
        <w:sectPr>
          <w:headerReference r:id="rId9" w:type="default"/>
          <w:pgSz w:w="11906" w:h="16838"/>
          <w:pgMar w:top="1361" w:right="1588" w:bottom="1361" w:left="1588" w:header="851" w:footer="992" w:gutter="0"/>
          <w:cols w:space="720" w:num="1"/>
          <w:docGrid w:type="lines" w:linePitch="312" w:charSpace="0"/>
        </w:sectPr>
      </w:pPr>
      <w:r>
        <w:rPr>
          <w:rFonts w:hint="eastAsia" w:ascii="仿宋_GB2312" w:hAnsi="华文细黑" w:eastAsia="仿宋_GB2312"/>
          <w:b/>
          <w:sz w:val="28"/>
          <w:szCs w:val="28"/>
        </w:rPr>
        <w:t>应急工作流程图</w:t>
      </w:r>
    </w:p>
    <w:p>
      <w:pPr>
        <w:snapToGrid w:val="0"/>
        <w:spacing w:line="360" w:lineRule="auto"/>
        <w:jc w:val="left"/>
        <w:rPr>
          <w:rFonts w:ascii="仿宋_GB2312" w:eastAsia="仿宋_GB2312"/>
          <w:sz w:val="28"/>
          <w:szCs w:val="28"/>
        </w:rPr>
      </w:pPr>
    </w:p>
    <w:sectPr>
      <w:headerReference r:id="rId10" w:type="default"/>
      <w:pgSz w:w="16838" w:h="11906" w:orient="landscape"/>
      <w:pgMar w:top="1588" w:right="1361" w:bottom="1588" w:left="136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Cambria Math">
    <w:panose1 w:val="02040503050406030204"/>
    <w:charset w:val="00"/>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方正宋三简体">
    <w:altName w:val="宋体"/>
    <w:panose1 w:val="00000000000000000000"/>
    <w:charset w:val="86"/>
    <w:family w:val="auto"/>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 w:name="Wingdings">
    <w:panose1 w:val="05000000000000000000"/>
    <w:charset w:val="00"/>
    <w:family w:val="auto"/>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10" w:usb3="00000000" w:csb0="0004009F" w:csb1="00000000"/>
  </w:font>
  <w:font w:name="方正黑体简体">
    <w:altName w:val="宋体"/>
    <w:panose1 w:val="00000000000000000000"/>
    <w:charset w:val="86"/>
    <w:family w:val="auto"/>
    <w:pitch w:val="default"/>
    <w:sig w:usb0="00000000" w:usb1="00000000" w:usb2="00000010" w:usb3="00000000" w:csb0="00040000" w:csb1="00000000"/>
  </w:font>
  <w:font w:name="Adobe Song Std">
    <w:altName w:val="宋体"/>
    <w:panose1 w:val="00000000000000000000"/>
    <w:charset w:val="86"/>
    <w:family w:val="roman"/>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创艺简中圆">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新魏">
    <w:altName w:val="宋体"/>
    <w:panose1 w:val="02010800040101010101"/>
    <w:charset w:val="86"/>
    <w:family w:val="auto"/>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Century">
    <w:altName w:val="Nyala"/>
    <w:panose1 w:val="02040603050705020303"/>
    <w:charset w:val="00"/>
    <w:family w:val="roman"/>
    <w:pitch w:val="default"/>
    <w:sig w:usb0="00000000" w:usb1="00000000" w:usb2="00000000" w:usb3="00000000" w:csb0="00000001" w:csb1="00000000"/>
  </w:font>
  <w:font w:name="MS Gothic">
    <w:panose1 w:val="020B0609070205080204"/>
    <w:charset w:val="80"/>
    <w:family w:val="modern"/>
    <w:pitch w:val="default"/>
    <w:sig w:usb0="E00002FF" w:usb1="6AC7FDFB" w:usb2="00000012" w:usb3="00000000" w:csb0="4002009F" w:csb1="DFD70000"/>
  </w:font>
  <w:font w:name="Garamond">
    <w:altName w:val="AMGDT"/>
    <w:panose1 w:val="00000000000000000000"/>
    <w:charset w:val="00"/>
    <w:family w:val="roman"/>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E00002FF" w:usb1="6AC7FDFB" w:usb2="00000012" w:usb3="00000000" w:csb0="4002009F" w:csb1="DFD70000"/>
  </w:font>
  <w:font w:name="Yu Mincho Demibold">
    <w:altName w:val="MS Mincho"/>
    <w:panose1 w:val="02020600000000000000"/>
    <w:charset w:val="80"/>
    <w:family w:val="roman"/>
    <w:pitch w:val="default"/>
    <w:sig w:usb0="00000000" w:usb1="00000000" w:usb2="00000012" w:usb3="00000000" w:csb0="0002009F" w:csb1="00000000"/>
  </w:font>
  <w:font w:name="TimesNewRomanPSMT">
    <w:altName w:val="Times New Roman"/>
    <w:panose1 w:val="00000000000000000000"/>
    <w:charset w:val="00"/>
    <w:family w:val="roman"/>
    <w:pitch w:val="default"/>
    <w:sig w:usb0="00000000" w:usb1="00000000" w:usb2="00000000" w:usb3="00000000" w:csb0="00000001" w:csb1="00000000"/>
  </w:font>
  <w:font w:name="Nyala">
    <w:panose1 w:val="02000504070300020003"/>
    <w:charset w:val="00"/>
    <w:family w:val="auto"/>
    <w:pitch w:val="default"/>
    <w:sig w:usb0="A000006F" w:usb1="00000000" w:usb2="00000800" w:usb3="00000000" w:csb0="00000093" w:csb1="00000000"/>
  </w:font>
  <w:font w:name="AMGDT">
    <w:panose1 w:val="02000400000000000000"/>
    <w:charset w:val="00"/>
    <w:family w:val="auto"/>
    <w:pitch w:val="default"/>
    <w:sig w:usb0="80000003" w:usb1="1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华文细黑">
    <w:altName w:val="黑体"/>
    <w:panose1 w:val="00000000000000000000"/>
    <w:charset w:val="86"/>
    <w:family w:val="auto"/>
    <w:pitch w:val="default"/>
    <w:sig w:usb0="00000000" w:usb1="00000000" w:usb2="00000010" w:usb3="00000000" w:csb0="0004009F" w:csb1="00000000"/>
  </w:font>
  <w:font w:name="AdobeSongStd-Light">
    <w:altName w:val="黑体"/>
    <w:panose1 w:val="00000000000000000000"/>
    <w:charset w:val="86"/>
    <w:family w:val="auto"/>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RomanS">
    <w:panose1 w:val="02000400000000000000"/>
    <w:charset w:val="00"/>
    <w:family w:val="auto"/>
    <w:pitch w:val="default"/>
    <w:sig w:usb0="00000207" w:usb1="00000000" w:usb2="00000000" w:usb3="00000000" w:csb0="000001FF" w:csb1="00000000"/>
  </w:font>
  <w:font w:name="@微软雅黑">
    <w:panose1 w:val="020B0503020204020204"/>
    <w:charset w:val="86"/>
    <w:family w:val="auto"/>
    <w:pitch w:val="default"/>
    <w:sig w:usb0="80000287" w:usb1="280F3C52" w:usb2="00000016" w:usb3="00000000" w:csb0="0004001F" w:csb1="00000000"/>
  </w:font>
  <w:font w:name="MingLiU">
    <w:panose1 w:val="02020509000000000000"/>
    <w:charset w:val="88"/>
    <w:family w:val="modern"/>
    <w:pitch w:val="default"/>
    <w:sig w:usb0="A00002FF" w:usb1="28CFFCFA" w:usb2="00000016" w:usb3="00000000" w:csb0="00100001" w:csb1="00000000"/>
  </w:font>
  <w:font w:name="Gulim">
    <w:panose1 w:val="020B0600000101010101"/>
    <w:charset w:val="81"/>
    <w:family w:val="swiss"/>
    <w:pitch w:val="default"/>
    <w:sig w:usb0="B00002AF" w:usb1="69D77CFB" w:usb2="00000030" w:usb3="00000000" w:csb0="4008009F" w:csb1="DFD70000"/>
  </w:font>
  <w:font w:name="Gungsuh">
    <w:panose1 w:val="02030600000101010101"/>
    <w:charset w:val="81"/>
    <w:family w:val="roman"/>
    <w:pitch w:val="default"/>
    <w:sig w:usb0="B00002AF" w:usb1="69D77CFB" w:usb2="00000030" w:usb3="00000000" w:csb0="4008009F" w:csb1="DFD70000"/>
  </w:font>
  <w:font w:name="Sylfaen">
    <w:panose1 w:val="010A0502050306030303"/>
    <w:charset w:val="00"/>
    <w:family w:val="roman"/>
    <w:pitch w:val="default"/>
    <w:sig w:usb0="04000687" w:usb1="00000000" w:usb2="00000000" w:usb3="00000000" w:csb0="2000009F" w:csb1="00000000"/>
  </w:font>
  <w:font w:name="Dotu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sz w:val="24"/>
        <w:szCs w:val="24"/>
      </w:rPr>
    </w:pPr>
  </w:p>
  <w:p>
    <w:pPr>
      <w:pStyle w:val="15"/>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4</w:t>
    </w:r>
    <w:r>
      <w:rPr>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rFonts w:hint="eastAsia" w:ascii="仿宋" w:hAnsi="仿宋" w:eastAsia="仿宋" w:cs="仿宋"/>
        <w:spacing w:val="-2"/>
        <w:sz w:val="24"/>
        <w:szCs w:val="24"/>
      </w:rPr>
      <w:t>蓬莱市前卫化工有限公司</w:t>
    </w:r>
    <w:r>
      <w:rPr>
        <w:sz w:val="24"/>
        <w:szCs w:val="24"/>
      </w:rPr>
      <w:pict>
        <v:shape id="_x0000_s3073" o:spid="_x0000_s3073" o:spt="32" type="#_x0000_t32" style="position:absolute;left:0pt;margin-left:-2.2pt;margin-top:14.2pt;height:0.75pt;width:437.25pt;z-index:251654144;mso-width-relative:page;mso-height-relative:page;" filled="f" coordsize="21600,21600">
          <v:path arrowok="t"/>
          <v:fill on="f" focussize="0,0"/>
          <v:stroke weight="1.25pt"/>
          <v:imagedata o:title=""/>
          <o:lock v:ext="edi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sz w:val="24"/>
        <w:szCs w:val="24"/>
      </w:rPr>
      <w:pict>
        <v:shape id="_x0000_s3078" o:spid="_x0000_s3078" o:spt="32" type="#_x0000_t32" style="position:absolute;left:0pt;margin-left:0.8pt;margin-top:19.45pt;height:0.3pt;width:706.9pt;z-index:251658240;mso-width-relative:page;mso-height-relative:page;" filled="f" coordsize="21600,21600">
          <v:path arrowok="t"/>
          <v:fill on="f" focussize="0,0"/>
          <v:stroke weight="1.25pt"/>
          <v:imagedata o:title=""/>
          <o:lock v:ext="edit"/>
        </v:shape>
      </w:pict>
    </w:r>
    <w:r>
      <w:rPr>
        <w:rFonts w:hint="eastAsia" w:ascii="仿宋" w:hAnsi="仿宋" w:eastAsia="仿宋" w:cs="仿宋"/>
        <w:spacing w:val="-2"/>
        <w:sz w:val="24"/>
        <w:szCs w:val="24"/>
      </w:rPr>
      <w:t>蓬莱市前卫化工有限公司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sz w:val="24"/>
        <w:szCs w:val="24"/>
      </w:rPr>
      <w:pict>
        <v:shape id="_x0000_s3079" o:spid="_x0000_s3079" o:spt="32" type="#_x0000_t32" style="position:absolute;left:0pt;margin-left:0.9pt;margin-top:13.8pt;height:0pt;width:435pt;z-index:251659264;mso-width-relative:page;mso-height-relative:page;" filled="f" coordsize="21600,21600" adj="-3985,-1,-3985">
          <v:path arrowok="t"/>
          <v:fill on="f" focussize="0,0"/>
          <v:stroke weight="1.25pt"/>
          <v:imagedata o:title=""/>
          <o:lock v:ext="edit"/>
        </v:shape>
      </w:pict>
    </w:r>
    <w:r>
      <w:rPr>
        <w:rFonts w:hint="eastAsia" w:ascii="仿宋" w:hAnsi="仿宋" w:eastAsia="仿宋" w:cs="仿宋"/>
        <w:spacing w:val="-2"/>
        <w:sz w:val="24"/>
        <w:szCs w:val="24"/>
      </w:rPr>
      <w:t>蓬莱市前卫化工有限公司</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sz w:val="24"/>
        <w:szCs w:val="24"/>
      </w:rPr>
      <w:pict>
        <v:shape id="_x0000_s3080" o:spid="_x0000_s3080" o:spt="32" type="#_x0000_t32" style="position:absolute;left:0pt;flip:y;margin-left:336.45pt;margin-top:15.95pt;height:0.2pt;width:368pt;z-index:251655168;mso-width-relative:page;mso-height-relative:page;" filled="f" coordsize="21600,21600">
          <v:path arrowok="t"/>
          <v:fill on="f" focussize="0,0"/>
          <v:stroke weight="1.25pt"/>
          <v:imagedata o:title=""/>
          <o:lock v:ext="edit"/>
        </v:shape>
      </w:pict>
    </w:r>
    <w:r>
      <w:rPr>
        <w:rFonts w:hint="eastAsia" w:ascii="仿宋" w:hAnsi="仿宋" w:eastAsia="仿宋" w:cs="仿宋"/>
        <w:spacing w:val="-2"/>
        <w:sz w:val="24"/>
        <w:szCs w:val="24"/>
      </w:rPr>
      <w:t>蓬莱市前卫化工有限公司</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rFonts w:hint="eastAsia" w:ascii="仿宋" w:hAnsi="仿宋" w:eastAsia="仿宋" w:cs="仿宋"/>
        <w:spacing w:val="-2"/>
        <w:sz w:val="24"/>
        <w:szCs w:val="24"/>
      </w:rPr>
      <w:t>蓬莱市前卫化工有限公司</w:t>
    </w:r>
    <w:r>
      <w:rPr>
        <w:sz w:val="24"/>
        <w:szCs w:val="24"/>
      </w:rPr>
      <w:pict>
        <v:shape id="_x0000_s3081" o:spid="_x0000_s3081" o:spt="32" type="#_x0000_t32" style="position:absolute;left:0pt;margin-left:0.1pt;margin-top:15.95pt;height:0pt;width:437.25pt;z-index:251657216;mso-width-relative:page;mso-height-relative:page;" o:connectortype="straight" filled="f" coordsize="21600,21600">
          <v:path arrowok="t"/>
          <v:fill on="f" focussize="0,0"/>
          <v:stroke weight="1.5pt"/>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r>
      <w:rPr>
        <w:rFonts w:hint="eastAsia" w:ascii="仿宋" w:hAnsi="仿宋" w:eastAsia="仿宋" w:cs="仿宋"/>
        <w:spacing w:val="-2"/>
        <w:sz w:val="24"/>
        <w:szCs w:val="24"/>
      </w:rPr>
      <w:t>蓬莱市前卫化工有限公司</w:t>
    </w:r>
    <w:r>
      <w:rPr>
        <w:sz w:val="24"/>
        <w:szCs w:val="24"/>
      </w:rPr>
      <w:pict>
        <v:shape id="_x0000_s3082" o:spid="_x0000_s3082" o:spt="32" type="#_x0000_t32" style="position:absolute;left:0pt;margin-left:1.6pt;margin-top:15.9pt;height:0.05pt;width:435pt;z-index:251656192;mso-width-relative:page;mso-height-relative:page;" o:connectortype="straight" filled="f" coordsize="21600,21600">
          <v:path arrowok="t"/>
          <v:fill on="f" focussize="0,0"/>
          <v:stroke weight="1.25pt"/>
          <v:imagedata o:title=""/>
          <o:lock v:ext="edi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right"/>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02EED"/>
    <w:multiLevelType w:val="singleLevel"/>
    <w:tmpl w:val="58F02EED"/>
    <w:lvl w:ilvl="0" w:tentative="0">
      <w:start w:val="1"/>
      <w:numFmt w:val="decimal"/>
      <w:suff w:val="nothing"/>
      <w:lvlText w:val="（%1）"/>
      <w:lvlJc w:val="left"/>
    </w:lvl>
  </w:abstractNum>
  <w:abstractNum w:abstractNumId="1">
    <w:nsid w:val="58F036E2"/>
    <w:multiLevelType w:val="singleLevel"/>
    <w:tmpl w:val="58F036E2"/>
    <w:lvl w:ilvl="0" w:tentative="0">
      <w:start w:val="1"/>
      <w:numFmt w:val="chineseCounting"/>
      <w:suff w:val="nothing"/>
      <w:lvlText w:val="%1、"/>
      <w:lvlJc w:val="left"/>
    </w:lvl>
  </w:abstractNum>
  <w:abstractNum w:abstractNumId="2">
    <w:nsid w:val="5956F30F"/>
    <w:multiLevelType w:val="singleLevel"/>
    <w:tmpl w:val="5956F30F"/>
    <w:lvl w:ilvl="0" w:tentative="0">
      <w:start w:val="1"/>
      <w:numFmt w:val="decimal"/>
      <w:suff w:val="nothing"/>
      <w:lvlText w:val="（%1）"/>
      <w:lvlJc w:val="left"/>
    </w:lvl>
  </w:abstractNum>
  <w:abstractNum w:abstractNumId="3">
    <w:nsid w:val="595DAE4F"/>
    <w:multiLevelType w:val="singleLevel"/>
    <w:tmpl w:val="595DAE4F"/>
    <w:lvl w:ilvl="0" w:tentative="0">
      <w:start w:val="2"/>
      <w:numFmt w:val="chineseCounting"/>
      <w:suff w:val="nothing"/>
      <w:lvlText w:val="（%1）"/>
      <w:lvlJc w:val="left"/>
    </w:lvl>
  </w:abstractNum>
  <w:abstractNum w:abstractNumId="4">
    <w:nsid w:val="5962F60A"/>
    <w:multiLevelType w:val="singleLevel"/>
    <w:tmpl w:val="5962F60A"/>
    <w:lvl w:ilvl="0" w:tentative="0">
      <w:start w:val="1"/>
      <w:numFmt w:val="decimal"/>
      <w:suff w:val="nothing"/>
      <w:lvlText w:val="（%1）"/>
      <w:lvlJc w:val="left"/>
    </w:lvl>
  </w:abstractNum>
  <w:abstractNum w:abstractNumId="5">
    <w:nsid w:val="5E651978"/>
    <w:multiLevelType w:val="multilevel"/>
    <w:tmpl w:val="5E651978"/>
    <w:lvl w:ilvl="0" w:tentative="0">
      <w:start w:val="3"/>
      <w:numFmt w:val="decimalEnclosedParen"/>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90"/>
  <w:drawingGridVerticalSpacing w:val="161"/>
  <w:noPunctuationKerning w:val="1"/>
  <w:characterSpacingControl w:val="compressPunctuation"/>
  <w:doNotValidateAgainstSchema/>
  <w:doNotDemarcateInvalidXml/>
  <w:hdrShapeDefaults>
    <o:shapelayout v:ext="edit">
      <o:idmap v:ext="edit" data="3"/>
      <o:rules v:ext="edit">
        <o:r id="V:Rule2" type="connector" idref="#_x0000_s3073"/>
        <o:r id="V:Rule3" type="connector" idref="#_x0000_s3078"/>
        <o:r id="V:Rule4" type="connector" idref="#_x0000_s3079"/>
        <o:r id="V:Rule5" type="connector" idref="#_x0000_s3080"/>
        <o:r id="V:Rule6" type="connector" idref="#_x0000_s3081"/>
        <o:r id="V:Rule7" type="connector" idref="#_x0000_s3082"/>
      </o:rules>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332C"/>
    <w:rsid w:val="000035D9"/>
    <w:rsid w:val="000072E1"/>
    <w:rsid w:val="00010BFA"/>
    <w:rsid w:val="000113F2"/>
    <w:rsid w:val="00012E0A"/>
    <w:rsid w:val="00015F39"/>
    <w:rsid w:val="00016A48"/>
    <w:rsid w:val="0001704D"/>
    <w:rsid w:val="00017304"/>
    <w:rsid w:val="00023C10"/>
    <w:rsid w:val="00024269"/>
    <w:rsid w:val="00024F8F"/>
    <w:rsid w:val="00025A66"/>
    <w:rsid w:val="000269D9"/>
    <w:rsid w:val="00030D41"/>
    <w:rsid w:val="00033F10"/>
    <w:rsid w:val="0003453C"/>
    <w:rsid w:val="0003521D"/>
    <w:rsid w:val="000421FF"/>
    <w:rsid w:val="00043D90"/>
    <w:rsid w:val="00045199"/>
    <w:rsid w:val="00051639"/>
    <w:rsid w:val="00053A4E"/>
    <w:rsid w:val="00056378"/>
    <w:rsid w:val="0005699B"/>
    <w:rsid w:val="00056FF0"/>
    <w:rsid w:val="0006073D"/>
    <w:rsid w:val="000616ED"/>
    <w:rsid w:val="0006335F"/>
    <w:rsid w:val="0006553C"/>
    <w:rsid w:val="0006748F"/>
    <w:rsid w:val="00073B76"/>
    <w:rsid w:val="000753DB"/>
    <w:rsid w:val="00075528"/>
    <w:rsid w:val="00080D99"/>
    <w:rsid w:val="0008263C"/>
    <w:rsid w:val="00083403"/>
    <w:rsid w:val="000848F7"/>
    <w:rsid w:val="000875D1"/>
    <w:rsid w:val="00087FC9"/>
    <w:rsid w:val="00090402"/>
    <w:rsid w:val="00090729"/>
    <w:rsid w:val="00090A58"/>
    <w:rsid w:val="00092799"/>
    <w:rsid w:val="00092999"/>
    <w:rsid w:val="000938FA"/>
    <w:rsid w:val="0009565E"/>
    <w:rsid w:val="0009590D"/>
    <w:rsid w:val="000967FA"/>
    <w:rsid w:val="00096882"/>
    <w:rsid w:val="000A1B52"/>
    <w:rsid w:val="000A491A"/>
    <w:rsid w:val="000A72D2"/>
    <w:rsid w:val="000B01E5"/>
    <w:rsid w:val="000B3810"/>
    <w:rsid w:val="000B3853"/>
    <w:rsid w:val="000B3A10"/>
    <w:rsid w:val="000B3E43"/>
    <w:rsid w:val="000B5A50"/>
    <w:rsid w:val="000B5A9B"/>
    <w:rsid w:val="000B6FC8"/>
    <w:rsid w:val="000C19D2"/>
    <w:rsid w:val="000C2B82"/>
    <w:rsid w:val="000C38E5"/>
    <w:rsid w:val="000C5F9F"/>
    <w:rsid w:val="000C7537"/>
    <w:rsid w:val="000D079C"/>
    <w:rsid w:val="000D0FEB"/>
    <w:rsid w:val="000D2DAF"/>
    <w:rsid w:val="000D3BEC"/>
    <w:rsid w:val="000D75DD"/>
    <w:rsid w:val="000E5751"/>
    <w:rsid w:val="000E706E"/>
    <w:rsid w:val="000F2C36"/>
    <w:rsid w:val="000F3EA2"/>
    <w:rsid w:val="000F4A1A"/>
    <w:rsid w:val="000F501D"/>
    <w:rsid w:val="000F59A3"/>
    <w:rsid w:val="000F750B"/>
    <w:rsid w:val="000F7AE3"/>
    <w:rsid w:val="001022AA"/>
    <w:rsid w:val="00104952"/>
    <w:rsid w:val="0010604F"/>
    <w:rsid w:val="00112644"/>
    <w:rsid w:val="00115FA5"/>
    <w:rsid w:val="00116D6D"/>
    <w:rsid w:val="00116E90"/>
    <w:rsid w:val="001203E2"/>
    <w:rsid w:val="00123F7E"/>
    <w:rsid w:val="00125D5B"/>
    <w:rsid w:val="001309DE"/>
    <w:rsid w:val="00131A60"/>
    <w:rsid w:val="001356D4"/>
    <w:rsid w:val="00135F57"/>
    <w:rsid w:val="00136A6C"/>
    <w:rsid w:val="001445E0"/>
    <w:rsid w:val="001445FC"/>
    <w:rsid w:val="001449DB"/>
    <w:rsid w:val="00145689"/>
    <w:rsid w:val="0014600B"/>
    <w:rsid w:val="0014610B"/>
    <w:rsid w:val="001472DC"/>
    <w:rsid w:val="001505E3"/>
    <w:rsid w:val="00150BE9"/>
    <w:rsid w:val="00155215"/>
    <w:rsid w:val="00155488"/>
    <w:rsid w:val="00157711"/>
    <w:rsid w:val="00160147"/>
    <w:rsid w:val="00163658"/>
    <w:rsid w:val="0016401D"/>
    <w:rsid w:val="00166038"/>
    <w:rsid w:val="001666FB"/>
    <w:rsid w:val="0017207B"/>
    <w:rsid w:val="00172A27"/>
    <w:rsid w:val="001737FE"/>
    <w:rsid w:val="00174BF5"/>
    <w:rsid w:val="00175068"/>
    <w:rsid w:val="00177540"/>
    <w:rsid w:val="0018013D"/>
    <w:rsid w:val="00180851"/>
    <w:rsid w:val="0018098F"/>
    <w:rsid w:val="00181323"/>
    <w:rsid w:val="001814C2"/>
    <w:rsid w:val="00181DE8"/>
    <w:rsid w:val="001820CF"/>
    <w:rsid w:val="001827B5"/>
    <w:rsid w:val="00182C01"/>
    <w:rsid w:val="00183485"/>
    <w:rsid w:val="00186047"/>
    <w:rsid w:val="001905F7"/>
    <w:rsid w:val="001926F5"/>
    <w:rsid w:val="00197BCA"/>
    <w:rsid w:val="001A04BB"/>
    <w:rsid w:val="001A223B"/>
    <w:rsid w:val="001A3067"/>
    <w:rsid w:val="001A423B"/>
    <w:rsid w:val="001B0ADF"/>
    <w:rsid w:val="001B0EEE"/>
    <w:rsid w:val="001B14CC"/>
    <w:rsid w:val="001B6B26"/>
    <w:rsid w:val="001B78FA"/>
    <w:rsid w:val="001C12A8"/>
    <w:rsid w:val="001C1811"/>
    <w:rsid w:val="001C1D5E"/>
    <w:rsid w:val="001C28EC"/>
    <w:rsid w:val="001C3217"/>
    <w:rsid w:val="001C56FC"/>
    <w:rsid w:val="001C57B8"/>
    <w:rsid w:val="001C7377"/>
    <w:rsid w:val="001D22CF"/>
    <w:rsid w:val="001D3BAC"/>
    <w:rsid w:val="001D71BD"/>
    <w:rsid w:val="001D7CAA"/>
    <w:rsid w:val="001D7FEE"/>
    <w:rsid w:val="001E32A2"/>
    <w:rsid w:val="001E3560"/>
    <w:rsid w:val="001E370A"/>
    <w:rsid w:val="001E421A"/>
    <w:rsid w:val="001E45D0"/>
    <w:rsid w:val="001E5096"/>
    <w:rsid w:val="001E72EE"/>
    <w:rsid w:val="001E784E"/>
    <w:rsid w:val="001F06D9"/>
    <w:rsid w:val="001F2278"/>
    <w:rsid w:val="001F32F0"/>
    <w:rsid w:val="001F5689"/>
    <w:rsid w:val="001F6ABE"/>
    <w:rsid w:val="001F71A8"/>
    <w:rsid w:val="001F74DE"/>
    <w:rsid w:val="00202D4D"/>
    <w:rsid w:val="002049AA"/>
    <w:rsid w:val="002056C4"/>
    <w:rsid w:val="00205A7D"/>
    <w:rsid w:val="00210126"/>
    <w:rsid w:val="00213C8C"/>
    <w:rsid w:val="00222E1A"/>
    <w:rsid w:val="00223B9A"/>
    <w:rsid w:val="0022519F"/>
    <w:rsid w:val="002264D3"/>
    <w:rsid w:val="002313CD"/>
    <w:rsid w:val="00231A5F"/>
    <w:rsid w:val="0023254F"/>
    <w:rsid w:val="00232627"/>
    <w:rsid w:val="00232D78"/>
    <w:rsid w:val="00233AE6"/>
    <w:rsid w:val="0023590F"/>
    <w:rsid w:val="00241228"/>
    <w:rsid w:val="002414E9"/>
    <w:rsid w:val="00242BEB"/>
    <w:rsid w:val="0025146E"/>
    <w:rsid w:val="002519E2"/>
    <w:rsid w:val="00252A5E"/>
    <w:rsid w:val="00254926"/>
    <w:rsid w:val="00254A15"/>
    <w:rsid w:val="00256E84"/>
    <w:rsid w:val="002649FE"/>
    <w:rsid w:val="00267336"/>
    <w:rsid w:val="00271458"/>
    <w:rsid w:val="0027225C"/>
    <w:rsid w:val="00274EF2"/>
    <w:rsid w:val="00275BC0"/>
    <w:rsid w:val="002763AC"/>
    <w:rsid w:val="00280EF5"/>
    <w:rsid w:val="0028286C"/>
    <w:rsid w:val="00282EC9"/>
    <w:rsid w:val="00285D46"/>
    <w:rsid w:val="002875AF"/>
    <w:rsid w:val="00287C87"/>
    <w:rsid w:val="00290FB1"/>
    <w:rsid w:val="002916B6"/>
    <w:rsid w:val="00292AE2"/>
    <w:rsid w:val="002A04D2"/>
    <w:rsid w:val="002A07FE"/>
    <w:rsid w:val="002A4399"/>
    <w:rsid w:val="002A4D62"/>
    <w:rsid w:val="002A5CF2"/>
    <w:rsid w:val="002B1577"/>
    <w:rsid w:val="002B36E8"/>
    <w:rsid w:val="002B3E64"/>
    <w:rsid w:val="002B45F4"/>
    <w:rsid w:val="002B4841"/>
    <w:rsid w:val="002B5BBD"/>
    <w:rsid w:val="002B5DFF"/>
    <w:rsid w:val="002B6123"/>
    <w:rsid w:val="002B6F8C"/>
    <w:rsid w:val="002C2724"/>
    <w:rsid w:val="002C3590"/>
    <w:rsid w:val="002C5924"/>
    <w:rsid w:val="002C65EE"/>
    <w:rsid w:val="002C781E"/>
    <w:rsid w:val="002D068D"/>
    <w:rsid w:val="002D2F7B"/>
    <w:rsid w:val="002D4CD1"/>
    <w:rsid w:val="002D757C"/>
    <w:rsid w:val="002E04EB"/>
    <w:rsid w:val="002E0AAA"/>
    <w:rsid w:val="002E1966"/>
    <w:rsid w:val="002E253F"/>
    <w:rsid w:val="002E7F8E"/>
    <w:rsid w:val="002F207B"/>
    <w:rsid w:val="002F27EF"/>
    <w:rsid w:val="002F3086"/>
    <w:rsid w:val="002F5547"/>
    <w:rsid w:val="002F6390"/>
    <w:rsid w:val="002F7F9D"/>
    <w:rsid w:val="0030018A"/>
    <w:rsid w:val="00306105"/>
    <w:rsid w:val="00312D9C"/>
    <w:rsid w:val="0031330C"/>
    <w:rsid w:val="00315487"/>
    <w:rsid w:val="003166F3"/>
    <w:rsid w:val="003175EB"/>
    <w:rsid w:val="00317827"/>
    <w:rsid w:val="0032464E"/>
    <w:rsid w:val="0032712D"/>
    <w:rsid w:val="0033014E"/>
    <w:rsid w:val="003301D8"/>
    <w:rsid w:val="00331E9D"/>
    <w:rsid w:val="00332226"/>
    <w:rsid w:val="003340C0"/>
    <w:rsid w:val="00334135"/>
    <w:rsid w:val="00334380"/>
    <w:rsid w:val="00334987"/>
    <w:rsid w:val="00336011"/>
    <w:rsid w:val="0033611F"/>
    <w:rsid w:val="00337421"/>
    <w:rsid w:val="00337F14"/>
    <w:rsid w:val="00343975"/>
    <w:rsid w:val="003446F4"/>
    <w:rsid w:val="003473B3"/>
    <w:rsid w:val="0035079D"/>
    <w:rsid w:val="00351FF0"/>
    <w:rsid w:val="00352960"/>
    <w:rsid w:val="00352B75"/>
    <w:rsid w:val="00352BF5"/>
    <w:rsid w:val="0035319A"/>
    <w:rsid w:val="003555CB"/>
    <w:rsid w:val="003566D5"/>
    <w:rsid w:val="003620D9"/>
    <w:rsid w:val="00362306"/>
    <w:rsid w:val="00364B5E"/>
    <w:rsid w:val="0036560E"/>
    <w:rsid w:val="003659A7"/>
    <w:rsid w:val="0037000B"/>
    <w:rsid w:val="00371B83"/>
    <w:rsid w:val="00376BFB"/>
    <w:rsid w:val="003774F3"/>
    <w:rsid w:val="003801DD"/>
    <w:rsid w:val="00381BB3"/>
    <w:rsid w:val="003824CC"/>
    <w:rsid w:val="003857F0"/>
    <w:rsid w:val="003861B7"/>
    <w:rsid w:val="00386D7F"/>
    <w:rsid w:val="00390877"/>
    <w:rsid w:val="003911AB"/>
    <w:rsid w:val="003932EF"/>
    <w:rsid w:val="0039495F"/>
    <w:rsid w:val="00396044"/>
    <w:rsid w:val="003965F9"/>
    <w:rsid w:val="00396C38"/>
    <w:rsid w:val="00396C8C"/>
    <w:rsid w:val="003A36ED"/>
    <w:rsid w:val="003A515B"/>
    <w:rsid w:val="003A6E8F"/>
    <w:rsid w:val="003B4C55"/>
    <w:rsid w:val="003B62B9"/>
    <w:rsid w:val="003C3611"/>
    <w:rsid w:val="003C38F3"/>
    <w:rsid w:val="003C6816"/>
    <w:rsid w:val="003C6BD4"/>
    <w:rsid w:val="003C7A80"/>
    <w:rsid w:val="003D105E"/>
    <w:rsid w:val="003D1A31"/>
    <w:rsid w:val="003D3F94"/>
    <w:rsid w:val="003D530D"/>
    <w:rsid w:val="003D63CB"/>
    <w:rsid w:val="003E3868"/>
    <w:rsid w:val="003E558D"/>
    <w:rsid w:val="003F0C26"/>
    <w:rsid w:val="003F12D0"/>
    <w:rsid w:val="003F293A"/>
    <w:rsid w:val="0040218F"/>
    <w:rsid w:val="004027A4"/>
    <w:rsid w:val="0040293C"/>
    <w:rsid w:val="00402EAA"/>
    <w:rsid w:val="00403E39"/>
    <w:rsid w:val="004062C2"/>
    <w:rsid w:val="00406563"/>
    <w:rsid w:val="00406BC7"/>
    <w:rsid w:val="00411456"/>
    <w:rsid w:val="00411C04"/>
    <w:rsid w:val="0041484C"/>
    <w:rsid w:val="0042025A"/>
    <w:rsid w:val="0042095E"/>
    <w:rsid w:val="00426C98"/>
    <w:rsid w:val="00427864"/>
    <w:rsid w:val="00427E26"/>
    <w:rsid w:val="00431663"/>
    <w:rsid w:val="0043684A"/>
    <w:rsid w:val="0044373B"/>
    <w:rsid w:val="0044400B"/>
    <w:rsid w:val="00446E66"/>
    <w:rsid w:val="00447079"/>
    <w:rsid w:val="0045002E"/>
    <w:rsid w:val="004520C5"/>
    <w:rsid w:val="004538AC"/>
    <w:rsid w:val="00453F56"/>
    <w:rsid w:val="004542AD"/>
    <w:rsid w:val="00456976"/>
    <w:rsid w:val="00462A99"/>
    <w:rsid w:val="00466641"/>
    <w:rsid w:val="004765C7"/>
    <w:rsid w:val="00477CE3"/>
    <w:rsid w:val="00480F3F"/>
    <w:rsid w:val="00481050"/>
    <w:rsid w:val="00481365"/>
    <w:rsid w:val="00483D49"/>
    <w:rsid w:val="00484FF1"/>
    <w:rsid w:val="0048601B"/>
    <w:rsid w:val="00487259"/>
    <w:rsid w:val="0048747F"/>
    <w:rsid w:val="00487A4B"/>
    <w:rsid w:val="00487BA6"/>
    <w:rsid w:val="00490065"/>
    <w:rsid w:val="00490518"/>
    <w:rsid w:val="00490F8C"/>
    <w:rsid w:val="00491F72"/>
    <w:rsid w:val="00492351"/>
    <w:rsid w:val="00495E68"/>
    <w:rsid w:val="00496977"/>
    <w:rsid w:val="00496C83"/>
    <w:rsid w:val="00497F79"/>
    <w:rsid w:val="004A4B09"/>
    <w:rsid w:val="004A4FDC"/>
    <w:rsid w:val="004A77E3"/>
    <w:rsid w:val="004B0432"/>
    <w:rsid w:val="004B0D4C"/>
    <w:rsid w:val="004B3186"/>
    <w:rsid w:val="004B45E3"/>
    <w:rsid w:val="004B622C"/>
    <w:rsid w:val="004B7320"/>
    <w:rsid w:val="004C0939"/>
    <w:rsid w:val="004C3E90"/>
    <w:rsid w:val="004C41C1"/>
    <w:rsid w:val="004C521C"/>
    <w:rsid w:val="004D6810"/>
    <w:rsid w:val="004E19DF"/>
    <w:rsid w:val="004E2BDC"/>
    <w:rsid w:val="004E341A"/>
    <w:rsid w:val="004E57A6"/>
    <w:rsid w:val="004F0DAC"/>
    <w:rsid w:val="004F21AB"/>
    <w:rsid w:val="004F5947"/>
    <w:rsid w:val="004F60F3"/>
    <w:rsid w:val="004F795C"/>
    <w:rsid w:val="004F79E1"/>
    <w:rsid w:val="00502654"/>
    <w:rsid w:val="00502EE5"/>
    <w:rsid w:val="00502FED"/>
    <w:rsid w:val="00503C18"/>
    <w:rsid w:val="00504982"/>
    <w:rsid w:val="00506F87"/>
    <w:rsid w:val="00512545"/>
    <w:rsid w:val="005157C3"/>
    <w:rsid w:val="00516349"/>
    <w:rsid w:val="0051638E"/>
    <w:rsid w:val="00516941"/>
    <w:rsid w:val="00522AE0"/>
    <w:rsid w:val="00531065"/>
    <w:rsid w:val="00531184"/>
    <w:rsid w:val="0053509B"/>
    <w:rsid w:val="00540B6E"/>
    <w:rsid w:val="00540F9F"/>
    <w:rsid w:val="0054522B"/>
    <w:rsid w:val="00554635"/>
    <w:rsid w:val="00554A5B"/>
    <w:rsid w:val="00555F40"/>
    <w:rsid w:val="005562E1"/>
    <w:rsid w:val="00556EBF"/>
    <w:rsid w:val="00557E1A"/>
    <w:rsid w:val="005646F7"/>
    <w:rsid w:val="00564954"/>
    <w:rsid w:val="00565B32"/>
    <w:rsid w:val="00570237"/>
    <w:rsid w:val="00570A48"/>
    <w:rsid w:val="00570C68"/>
    <w:rsid w:val="005749E2"/>
    <w:rsid w:val="00576BDD"/>
    <w:rsid w:val="00577764"/>
    <w:rsid w:val="00577B9E"/>
    <w:rsid w:val="00580DEE"/>
    <w:rsid w:val="00580E89"/>
    <w:rsid w:val="00582C57"/>
    <w:rsid w:val="00582E29"/>
    <w:rsid w:val="00583D4C"/>
    <w:rsid w:val="005908E8"/>
    <w:rsid w:val="00592352"/>
    <w:rsid w:val="00592A61"/>
    <w:rsid w:val="0059379C"/>
    <w:rsid w:val="00593EF0"/>
    <w:rsid w:val="0059427E"/>
    <w:rsid w:val="005943DC"/>
    <w:rsid w:val="005971B5"/>
    <w:rsid w:val="005976F9"/>
    <w:rsid w:val="005A0A6F"/>
    <w:rsid w:val="005A185C"/>
    <w:rsid w:val="005A4169"/>
    <w:rsid w:val="005A753E"/>
    <w:rsid w:val="005B0706"/>
    <w:rsid w:val="005B0970"/>
    <w:rsid w:val="005B1545"/>
    <w:rsid w:val="005B1A77"/>
    <w:rsid w:val="005B2907"/>
    <w:rsid w:val="005B46C0"/>
    <w:rsid w:val="005C0D68"/>
    <w:rsid w:val="005C228F"/>
    <w:rsid w:val="005C3697"/>
    <w:rsid w:val="005C5AED"/>
    <w:rsid w:val="005C6091"/>
    <w:rsid w:val="005C623A"/>
    <w:rsid w:val="005C74BA"/>
    <w:rsid w:val="005C7E21"/>
    <w:rsid w:val="005D274C"/>
    <w:rsid w:val="005D31D0"/>
    <w:rsid w:val="005D51FA"/>
    <w:rsid w:val="005D5D31"/>
    <w:rsid w:val="005D70DC"/>
    <w:rsid w:val="005D7342"/>
    <w:rsid w:val="005E2B1D"/>
    <w:rsid w:val="005E2F14"/>
    <w:rsid w:val="005E4ED7"/>
    <w:rsid w:val="005E63CF"/>
    <w:rsid w:val="005E764A"/>
    <w:rsid w:val="005F160F"/>
    <w:rsid w:val="005F21DD"/>
    <w:rsid w:val="005F35E4"/>
    <w:rsid w:val="005F406F"/>
    <w:rsid w:val="005F659F"/>
    <w:rsid w:val="005F6E28"/>
    <w:rsid w:val="005F7606"/>
    <w:rsid w:val="0060122B"/>
    <w:rsid w:val="00602F96"/>
    <w:rsid w:val="0060309C"/>
    <w:rsid w:val="0060574E"/>
    <w:rsid w:val="00606EE2"/>
    <w:rsid w:val="0061188D"/>
    <w:rsid w:val="006128BA"/>
    <w:rsid w:val="006139AC"/>
    <w:rsid w:val="0061640F"/>
    <w:rsid w:val="00617160"/>
    <w:rsid w:val="00620B46"/>
    <w:rsid w:val="00621181"/>
    <w:rsid w:val="006215CB"/>
    <w:rsid w:val="00621C5D"/>
    <w:rsid w:val="0062311A"/>
    <w:rsid w:val="006240E5"/>
    <w:rsid w:val="00624F7B"/>
    <w:rsid w:val="0062606E"/>
    <w:rsid w:val="0062647E"/>
    <w:rsid w:val="006268C5"/>
    <w:rsid w:val="006279AC"/>
    <w:rsid w:val="006305AF"/>
    <w:rsid w:val="00633B0E"/>
    <w:rsid w:val="00633C21"/>
    <w:rsid w:val="006375DD"/>
    <w:rsid w:val="006401E3"/>
    <w:rsid w:val="0064054A"/>
    <w:rsid w:val="00641847"/>
    <w:rsid w:val="0064315D"/>
    <w:rsid w:val="00643D0E"/>
    <w:rsid w:val="00646A0F"/>
    <w:rsid w:val="00646E5C"/>
    <w:rsid w:val="0064781B"/>
    <w:rsid w:val="00647E0D"/>
    <w:rsid w:val="0065129B"/>
    <w:rsid w:val="006544AD"/>
    <w:rsid w:val="00661B41"/>
    <w:rsid w:val="00663E52"/>
    <w:rsid w:val="00667474"/>
    <w:rsid w:val="00670C30"/>
    <w:rsid w:val="0067145A"/>
    <w:rsid w:val="006719EA"/>
    <w:rsid w:val="00676A1A"/>
    <w:rsid w:val="006775B6"/>
    <w:rsid w:val="00681D65"/>
    <w:rsid w:val="00682E68"/>
    <w:rsid w:val="00686ACA"/>
    <w:rsid w:val="00690E77"/>
    <w:rsid w:val="006919D6"/>
    <w:rsid w:val="00692001"/>
    <w:rsid w:val="0069309E"/>
    <w:rsid w:val="00693237"/>
    <w:rsid w:val="00697874"/>
    <w:rsid w:val="006A0E25"/>
    <w:rsid w:val="006A21DD"/>
    <w:rsid w:val="006A406D"/>
    <w:rsid w:val="006A6C95"/>
    <w:rsid w:val="006B3E33"/>
    <w:rsid w:val="006B5F1E"/>
    <w:rsid w:val="006B7EFC"/>
    <w:rsid w:val="006C064F"/>
    <w:rsid w:val="006C2644"/>
    <w:rsid w:val="006C2DCC"/>
    <w:rsid w:val="006C3030"/>
    <w:rsid w:val="006C3032"/>
    <w:rsid w:val="006C3CD9"/>
    <w:rsid w:val="006C4B18"/>
    <w:rsid w:val="006C5F1F"/>
    <w:rsid w:val="006D0D9A"/>
    <w:rsid w:val="006D0F7C"/>
    <w:rsid w:val="006D1418"/>
    <w:rsid w:val="006D3EEB"/>
    <w:rsid w:val="006D6F78"/>
    <w:rsid w:val="006D7010"/>
    <w:rsid w:val="006D75B7"/>
    <w:rsid w:val="006D7C85"/>
    <w:rsid w:val="006E5A2E"/>
    <w:rsid w:val="006E67F8"/>
    <w:rsid w:val="006F142F"/>
    <w:rsid w:val="006F3A50"/>
    <w:rsid w:val="006F5FA2"/>
    <w:rsid w:val="00701593"/>
    <w:rsid w:val="00705018"/>
    <w:rsid w:val="00710538"/>
    <w:rsid w:val="007140B5"/>
    <w:rsid w:val="00714789"/>
    <w:rsid w:val="007153C2"/>
    <w:rsid w:val="007163FC"/>
    <w:rsid w:val="00730664"/>
    <w:rsid w:val="007308C7"/>
    <w:rsid w:val="0073120F"/>
    <w:rsid w:val="00732E4E"/>
    <w:rsid w:val="00733459"/>
    <w:rsid w:val="007361D5"/>
    <w:rsid w:val="00737398"/>
    <w:rsid w:val="007377FD"/>
    <w:rsid w:val="00740A98"/>
    <w:rsid w:val="00740FB7"/>
    <w:rsid w:val="00741453"/>
    <w:rsid w:val="00741CF7"/>
    <w:rsid w:val="00742115"/>
    <w:rsid w:val="00746E84"/>
    <w:rsid w:val="007515E1"/>
    <w:rsid w:val="00752097"/>
    <w:rsid w:val="00752A5F"/>
    <w:rsid w:val="00753891"/>
    <w:rsid w:val="0075406A"/>
    <w:rsid w:val="00754CCF"/>
    <w:rsid w:val="0075664B"/>
    <w:rsid w:val="0075697C"/>
    <w:rsid w:val="00756AD4"/>
    <w:rsid w:val="00756BB3"/>
    <w:rsid w:val="0075752F"/>
    <w:rsid w:val="00757660"/>
    <w:rsid w:val="007577FA"/>
    <w:rsid w:val="007608EB"/>
    <w:rsid w:val="007613C6"/>
    <w:rsid w:val="00761788"/>
    <w:rsid w:val="00761B2E"/>
    <w:rsid w:val="00761D6F"/>
    <w:rsid w:val="00762FE8"/>
    <w:rsid w:val="00763A83"/>
    <w:rsid w:val="00763FD2"/>
    <w:rsid w:val="0076569F"/>
    <w:rsid w:val="0076603D"/>
    <w:rsid w:val="0076611A"/>
    <w:rsid w:val="00766D09"/>
    <w:rsid w:val="00772C78"/>
    <w:rsid w:val="00774C43"/>
    <w:rsid w:val="0077600A"/>
    <w:rsid w:val="00781948"/>
    <w:rsid w:val="007850EC"/>
    <w:rsid w:val="00785B28"/>
    <w:rsid w:val="00786E99"/>
    <w:rsid w:val="007903A0"/>
    <w:rsid w:val="00790609"/>
    <w:rsid w:val="00790DB3"/>
    <w:rsid w:val="00793230"/>
    <w:rsid w:val="00794304"/>
    <w:rsid w:val="00797C7A"/>
    <w:rsid w:val="00797CFC"/>
    <w:rsid w:val="007A39EB"/>
    <w:rsid w:val="007A6957"/>
    <w:rsid w:val="007A698D"/>
    <w:rsid w:val="007A7BCB"/>
    <w:rsid w:val="007B2345"/>
    <w:rsid w:val="007B308A"/>
    <w:rsid w:val="007B43B1"/>
    <w:rsid w:val="007B4D7E"/>
    <w:rsid w:val="007C2EE8"/>
    <w:rsid w:val="007C3D45"/>
    <w:rsid w:val="007C68CF"/>
    <w:rsid w:val="007C6CAB"/>
    <w:rsid w:val="007C6E74"/>
    <w:rsid w:val="007D1649"/>
    <w:rsid w:val="007D1C01"/>
    <w:rsid w:val="007D3004"/>
    <w:rsid w:val="007D3186"/>
    <w:rsid w:val="007D438F"/>
    <w:rsid w:val="007D4EA0"/>
    <w:rsid w:val="007E0D1C"/>
    <w:rsid w:val="007F5BB6"/>
    <w:rsid w:val="007F678C"/>
    <w:rsid w:val="007F6DD5"/>
    <w:rsid w:val="007F6F8D"/>
    <w:rsid w:val="007F7F6F"/>
    <w:rsid w:val="00801616"/>
    <w:rsid w:val="008021F4"/>
    <w:rsid w:val="00807206"/>
    <w:rsid w:val="008107E2"/>
    <w:rsid w:val="00810E25"/>
    <w:rsid w:val="00810E81"/>
    <w:rsid w:val="00812D10"/>
    <w:rsid w:val="00814082"/>
    <w:rsid w:val="00814CDF"/>
    <w:rsid w:val="0081667A"/>
    <w:rsid w:val="008170AA"/>
    <w:rsid w:val="008205E9"/>
    <w:rsid w:val="00822F9A"/>
    <w:rsid w:val="0082579E"/>
    <w:rsid w:val="008267BD"/>
    <w:rsid w:val="008270F2"/>
    <w:rsid w:val="008272CA"/>
    <w:rsid w:val="00827CFD"/>
    <w:rsid w:val="00831A3A"/>
    <w:rsid w:val="008331EE"/>
    <w:rsid w:val="00837040"/>
    <w:rsid w:val="00837658"/>
    <w:rsid w:val="00840189"/>
    <w:rsid w:val="00840278"/>
    <w:rsid w:val="00840A75"/>
    <w:rsid w:val="00841C03"/>
    <w:rsid w:val="00843F8E"/>
    <w:rsid w:val="008445A4"/>
    <w:rsid w:val="00844C94"/>
    <w:rsid w:val="00845A7C"/>
    <w:rsid w:val="00847C47"/>
    <w:rsid w:val="00851213"/>
    <w:rsid w:val="00857B24"/>
    <w:rsid w:val="008639AC"/>
    <w:rsid w:val="008656F9"/>
    <w:rsid w:val="008732F7"/>
    <w:rsid w:val="0087473C"/>
    <w:rsid w:val="00882829"/>
    <w:rsid w:val="00883DFD"/>
    <w:rsid w:val="008904FB"/>
    <w:rsid w:val="0089056A"/>
    <w:rsid w:val="008922E8"/>
    <w:rsid w:val="00892330"/>
    <w:rsid w:val="00893727"/>
    <w:rsid w:val="008953C4"/>
    <w:rsid w:val="00897229"/>
    <w:rsid w:val="008973F5"/>
    <w:rsid w:val="008A061D"/>
    <w:rsid w:val="008A0C99"/>
    <w:rsid w:val="008A25BB"/>
    <w:rsid w:val="008A276C"/>
    <w:rsid w:val="008A3E6F"/>
    <w:rsid w:val="008A6BA8"/>
    <w:rsid w:val="008B299A"/>
    <w:rsid w:val="008B47DF"/>
    <w:rsid w:val="008B4CAF"/>
    <w:rsid w:val="008B59DF"/>
    <w:rsid w:val="008B66AD"/>
    <w:rsid w:val="008B713A"/>
    <w:rsid w:val="008B7683"/>
    <w:rsid w:val="008C0F83"/>
    <w:rsid w:val="008C4113"/>
    <w:rsid w:val="008C7068"/>
    <w:rsid w:val="008D0D99"/>
    <w:rsid w:val="008D1055"/>
    <w:rsid w:val="008D30F5"/>
    <w:rsid w:val="008D338A"/>
    <w:rsid w:val="008D59EC"/>
    <w:rsid w:val="008E1A91"/>
    <w:rsid w:val="008E2054"/>
    <w:rsid w:val="008E29F8"/>
    <w:rsid w:val="008E4766"/>
    <w:rsid w:val="008E52D4"/>
    <w:rsid w:val="008F049B"/>
    <w:rsid w:val="008F2CFE"/>
    <w:rsid w:val="00900064"/>
    <w:rsid w:val="009003B2"/>
    <w:rsid w:val="00900A06"/>
    <w:rsid w:val="009013E0"/>
    <w:rsid w:val="00901B2E"/>
    <w:rsid w:val="00902BF3"/>
    <w:rsid w:val="00902F05"/>
    <w:rsid w:val="00903926"/>
    <w:rsid w:val="00903EC0"/>
    <w:rsid w:val="00904C33"/>
    <w:rsid w:val="009113FA"/>
    <w:rsid w:val="009142B1"/>
    <w:rsid w:val="00914F36"/>
    <w:rsid w:val="009167B4"/>
    <w:rsid w:val="009250A1"/>
    <w:rsid w:val="009255C3"/>
    <w:rsid w:val="009255C7"/>
    <w:rsid w:val="00927D62"/>
    <w:rsid w:val="0093015F"/>
    <w:rsid w:val="00931DF2"/>
    <w:rsid w:val="00933CF8"/>
    <w:rsid w:val="00934E37"/>
    <w:rsid w:val="00934EFE"/>
    <w:rsid w:val="0093692F"/>
    <w:rsid w:val="00940891"/>
    <w:rsid w:val="009412B6"/>
    <w:rsid w:val="00944C3B"/>
    <w:rsid w:val="009469EF"/>
    <w:rsid w:val="00953B92"/>
    <w:rsid w:val="00953D88"/>
    <w:rsid w:val="009577F0"/>
    <w:rsid w:val="009603BE"/>
    <w:rsid w:val="009622CC"/>
    <w:rsid w:val="00962673"/>
    <w:rsid w:val="00962E3E"/>
    <w:rsid w:val="00964738"/>
    <w:rsid w:val="00966156"/>
    <w:rsid w:val="0096640F"/>
    <w:rsid w:val="009675DB"/>
    <w:rsid w:val="009702D4"/>
    <w:rsid w:val="009729D3"/>
    <w:rsid w:val="00975575"/>
    <w:rsid w:val="00976499"/>
    <w:rsid w:val="00976EBE"/>
    <w:rsid w:val="0097785D"/>
    <w:rsid w:val="00987A37"/>
    <w:rsid w:val="00991AD5"/>
    <w:rsid w:val="0099231B"/>
    <w:rsid w:val="009927FD"/>
    <w:rsid w:val="009948F9"/>
    <w:rsid w:val="009A001C"/>
    <w:rsid w:val="009A50BE"/>
    <w:rsid w:val="009A6A40"/>
    <w:rsid w:val="009B509D"/>
    <w:rsid w:val="009B534E"/>
    <w:rsid w:val="009C0F41"/>
    <w:rsid w:val="009C1A57"/>
    <w:rsid w:val="009C2015"/>
    <w:rsid w:val="009C2187"/>
    <w:rsid w:val="009C273A"/>
    <w:rsid w:val="009C3FCB"/>
    <w:rsid w:val="009C48C0"/>
    <w:rsid w:val="009C4EC7"/>
    <w:rsid w:val="009C5086"/>
    <w:rsid w:val="009D0523"/>
    <w:rsid w:val="009D1904"/>
    <w:rsid w:val="009D408D"/>
    <w:rsid w:val="009E1A60"/>
    <w:rsid w:val="009E1B21"/>
    <w:rsid w:val="009E4C5E"/>
    <w:rsid w:val="009E4CEB"/>
    <w:rsid w:val="009E7071"/>
    <w:rsid w:val="009F08D3"/>
    <w:rsid w:val="009F14A2"/>
    <w:rsid w:val="009F1631"/>
    <w:rsid w:val="009F21F2"/>
    <w:rsid w:val="009F36BC"/>
    <w:rsid w:val="009F3773"/>
    <w:rsid w:val="009F53DB"/>
    <w:rsid w:val="009F7D70"/>
    <w:rsid w:val="00A01941"/>
    <w:rsid w:val="00A020E0"/>
    <w:rsid w:val="00A02B6E"/>
    <w:rsid w:val="00A042CA"/>
    <w:rsid w:val="00A066A1"/>
    <w:rsid w:val="00A067FB"/>
    <w:rsid w:val="00A1089A"/>
    <w:rsid w:val="00A125F4"/>
    <w:rsid w:val="00A1322D"/>
    <w:rsid w:val="00A1562E"/>
    <w:rsid w:val="00A16060"/>
    <w:rsid w:val="00A17E01"/>
    <w:rsid w:val="00A24905"/>
    <w:rsid w:val="00A25C67"/>
    <w:rsid w:val="00A379F0"/>
    <w:rsid w:val="00A42F54"/>
    <w:rsid w:val="00A43669"/>
    <w:rsid w:val="00A44619"/>
    <w:rsid w:val="00A46583"/>
    <w:rsid w:val="00A52084"/>
    <w:rsid w:val="00A53228"/>
    <w:rsid w:val="00A5415E"/>
    <w:rsid w:val="00A55568"/>
    <w:rsid w:val="00A73334"/>
    <w:rsid w:val="00A769F4"/>
    <w:rsid w:val="00A77B7B"/>
    <w:rsid w:val="00A77C28"/>
    <w:rsid w:val="00A80D50"/>
    <w:rsid w:val="00A81305"/>
    <w:rsid w:val="00A81703"/>
    <w:rsid w:val="00A8422C"/>
    <w:rsid w:val="00A84774"/>
    <w:rsid w:val="00A84F90"/>
    <w:rsid w:val="00A85AEF"/>
    <w:rsid w:val="00A85DEA"/>
    <w:rsid w:val="00A86054"/>
    <w:rsid w:val="00A86152"/>
    <w:rsid w:val="00A86833"/>
    <w:rsid w:val="00A86AA5"/>
    <w:rsid w:val="00A871C7"/>
    <w:rsid w:val="00A874DC"/>
    <w:rsid w:val="00A902D2"/>
    <w:rsid w:val="00A93948"/>
    <w:rsid w:val="00A941CF"/>
    <w:rsid w:val="00A94AF1"/>
    <w:rsid w:val="00AA0996"/>
    <w:rsid w:val="00AA12FF"/>
    <w:rsid w:val="00AA4B82"/>
    <w:rsid w:val="00AB2B95"/>
    <w:rsid w:val="00AC0A45"/>
    <w:rsid w:val="00AC2D75"/>
    <w:rsid w:val="00AC471A"/>
    <w:rsid w:val="00AC4E22"/>
    <w:rsid w:val="00AD0DD4"/>
    <w:rsid w:val="00AD6A11"/>
    <w:rsid w:val="00AE27EE"/>
    <w:rsid w:val="00AE32CF"/>
    <w:rsid w:val="00AE47BB"/>
    <w:rsid w:val="00AE5142"/>
    <w:rsid w:val="00AE54F0"/>
    <w:rsid w:val="00AE5B63"/>
    <w:rsid w:val="00AE6703"/>
    <w:rsid w:val="00AF3141"/>
    <w:rsid w:val="00AF58E4"/>
    <w:rsid w:val="00AF75A6"/>
    <w:rsid w:val="00AF769A"/>
    <w:rsid w:val="00B00C5A"/>
    <w:rsid w:val="00B01134"/>
    <w:rsid w:val="00B01387"/>
    <w:rsid w:val="00B04E37"/>
    <w:rsid w:val="00B05C33"/>
    <w:rsid w:val="00B05F96"/>
    <w:rsid w:val="00B13466"/>
    <w:rsid w:val="00B14FF5"/>
    <w:rsid w:val="00B1550E"/>
    <w:rsid w:val="00B16BD2"/>
    <w:rsid w:val="00B20DD6"/>
    <w:rsid w:val="00B24656"/>
    <w:rsid w:val="00B30299"/>
    <w:rsid w:val="00B352B1"/>
    <w:rsid w:val="00B35312"/>
    <w:rsid w:val="00B409C1"/>
    <w:rsid w:val="00B426A3"/>
    <w:rsid w:val="00B42FE6"/>
    <w:rsid w:val="00B43121"/>
    <w:rsid w:val="00B4329C"/>
    <w:rsid w:val="00B46F63"/>
    <w:rsid w:val="00B517A3"/>
    <w:rsid w:val="00B53CB5"/>
    <w:rsid w:val="00B55671"/>
    <w:rsid w:val="00B55871"/>
    <w:rsid w:val="00B55BC6"/>
    <w:rsid w:val="00B569D9"/>
    <w:rsid w:val="00B57471"/>
    <w:rsid w:val="00B60938"/>
    <w:rsid w:val="00B66DCE"/>
    <w:rsid w:val="00B71EEF"/>
    <w:rsid w:val="00B7269A"/>
    <w:rsid w:val="00B74E55"/>
    <w:rsid w:val="00B82146"/>
    <w:rsid w:val="00B841BD"/>
    <w:rsid w:val="00B8550E"/>
    <w:rsid w:val="00B86521"/>
    <w:rsid w:val="00B9118D"/>
    <w:rsid w:val="00B91F94"/>
    <w:rsid w:val="00B940A2"/>
    <w:rsid w:val="00BA08CA"/>
    <w:rsid w:val="00BA22FD"/>
    <w:rsid w:val="00BA2F8A"/>
    <w:rsid w:val="00BA5AC0"/>
    <w:rsid w:val="00BA6286"/>
    <w:rsid w:val="00BA6CED"/>
    <w:rsid w:val="00BA780D"/>
    <w:rsid w:val="00BA7938"/>
    <w:rsid w:val="00BB05C6"/>
    <w:rsid w:val="00BB06B1"/>
    <w:rsid w:val="00BB0D0B"/>
    <w:rsid w:val="00BB164C"/>
    <w:rsid w:val="00BB193D"/>
    <w:rsid w:val="00BB4EB6"/>
    <w:rsid w:val="00BB5F55"/>
    <w:rsid w:val="00BC2490"/>
    <w:rsid w:val="00BC2E32"/>
    <w:rsid w:val="00BC4655"/>
    <w:rsid w:val="00BC565A"/>
    <w:rsid w:val="00BC5F32"/>
    <w:rsid w:val="00BD18D3"/>
    <w:rsid w:val="00BD456B"/>
    <w:rsid w:val="00BE2AAB"/>
    <w:rsid w:val="00BE36AF"/>
    <w:rsid w:val="00BE7F65"/>
    <w:rsid w:val="00BF2900"/>
    <w:rsid w:val="00C00C48"/>
    <w:rsid w:val="00C07AC1"/>
    <w:rsid w:val="00C10312"/>
    <w:rsid w:val="00C1173E"/>
    <w:rsid w:val="00C20123"/>
    <w:rsid w:val="00C20208"/>
    <w:rsid w:val="00C20B39"/>
    <w:rsid w:val="00C22426"/>
    <w:rsid w:val="00C24461"/>
    <w:rsid w:val="00C24CF8"/>
    <w:rsid w:val="00C25D40"/>
    <w:rsid w:val="00C2601E"/>
    <w:rsid w:val="00C26F7C"/>
    <w:rsid w:val="00C3176A"/>
    <w:rsid w:val="00C32803"/>
    <w:rsid w:val="00C334F2"/>
    <w:rsid w:val="00C34D86"/>
    <w:rsid w:val="00C3666C"/>
    <w:rsid w:val="00C374BE"/>
    <w:rsid w:val="00C42DF2"/>
    <w:rsid w:val="00C4363C"/>
    <w:rsid w:val="00C43D16"/>
    <w:rsid w:val="00C44610"/>
    <w:rsid w:val="00C44F50"/>
    <w:rsid w:val="00C45E58"/>
    <w:rsid w:val="00C47394"/>
    <w:rsid w:val="00C4784A"/>
    <w:rsid w:val="00C50D64"/>
    <w:rsid w:val="00C5381D"/>
    <w:rsid w:val="00C564F5"/>
    <w:rsid w:val="00C56BA5"/>
    <w:rsid w:val="00C606C2"/>
    <w:rsid w:val="00C62296"/>
    <w:rsid w:val="00C6485F"/>
    <w:rsid w:val="00C64F0B"/>
    <w:rsid w:val="00C65D3D"/>
    <w:rsid w:val="00C71989"/>
    <w:rsid w:val="00C7272E"/>
    <w:rsid w:val="00C73E53"/>
    <w:rsid w:val="00C751D8"/>
    <w:rsid w:val="00C75A0D"/>
    <w:rsid w:val="00C77655"/>
    <w:rsid w:val="00C77857"/>
    <w:rsid w:val="00C77A03"/>
    <w:rsid w:val="00C82033"/>
    <w:rsid w:val="00C834F5"/>
    <w:rsid w:val="00C83C89"/>
    <w:rsid w:val="00C85B31"/>
    <w:rsid w:val="00C85DA1"/>
    <w:rsid w:val="00C865D4"/>
    <w:rsid w:val="00C8683A"/>
    <w:rsid w:val="00C927C7"/>
    <w:rsid w:val="00C92E00"/>
    <w:rsid w:val="00C93DC9"/>
    <w:rsid w:val="00C96C2F"/>
    <w:rsid w:val="00CA07E3"/>
    <w:rsid w:val="00CA1F02"/>
    <w:rsid w:val="00CA37F0"/>
    <w:rsid w:val="00CA496E"/>
    <w:rsid w:val="00CA6573"/>
    <w:rsid w:val="00CB1877"/>
    <w:rsid w:val="00CB2706"/>
    <w:rsid w:val="00CB42DA"/>
    <w:rsid w:val="00CB45DF"/>
    <w:rsid w:val="00CB59CD"/>
    <w:rsid w:val="00CB63DA"/>
    <w:rsid w:val="00CC522C"/>
    <w:rsid w:val="00CC6A50"/>
    <w:rsid w:val="00CD0FBD"/>
    <w:rsid w:val="00CD714E"/>
    <w:rsid w:val="00CD7E2C"/>
    <w:rsid w:val="00CE4ABA"/>
    <w:rsid w:val="00CE50E3"/>
    <w:rsid w:val="00CE6AAC"/>
    <w:rsid w:val="00CF19D5"/>
    <w:rsid w:val="00D01E8D"/>
    <w:rsid w:val="00D02582"/>
    <w:rsid w:val="00D02D21"/>
    <w:rsid w:val="00D04D5C"/>
    <w:rsid w:val="00D066EC"/>
    <w:rsid w:val="00D10566"/>
    <w:rsid w:val="00D132B8"/>
    <w:rsid w:val="00D13483"/>
    <w:rsid w:val="00D2083B"/>
    <w:rsid w:val="00D20928"/>
    <w:rsid w:val="00D21A43"/>
    <w:rsid w:val="00D22CE8"/>
    <w:rsid w:val="00D25F54"/>
    <w:rsid w:val="00D2619C"/>
    <w:rsid w:val="00D2705F"/>
    <w:rsid w:val="00D31A9C"/>
    <w:rsid w:val="00D332ED"/>
    <w:rsid w:val="00D3483F"/>
    <w:rsid w:val="00D349D8"/>
    <w:rsid w:val="00D4347E"/>
    <w:rsid w:val="00D4358E"/>
    <w:rsid w:val="00D44A27"/>
    <w:rsid w:val="00D46E7D"/>
    <w:rsid w:val="00D46F67"/>
    <w:rsid w:val="00D5004C"/>
    <w:rsid w:val="00D569FE"/>
    <w:rsid w:val="00D56BA1"/>
    <w:rsid w:val="00D56FBC"/>
    <w:rsid w:val="00D6069A"/>
    <w:rsid w:val="00D643BD"/>
    <w:rsid w:val="00D64BCA"/>
    <w:rsid w:val="00D65884"/>
    <w:rsid w:val="00D66C00"/>
    <w:rsid w:val="00D71240"/>
    <w:rsid w:val="00D75203"/>
    <w:rsid w:val="00D76860"/>
    <w:rsid w:val="00D77919"/>
    <w:rsid w:val="00D77C4E"/>
    <w:rsid w:val="00D83449"/>
    <w:rsid w:val="00D85512"/>
    <w:rsid w:val="00D85C31"/>
    <w:rsid w:val="00D866D1"/>
    <w:rsid w:val="00D907C8"/>
    <w:rsid w:val="00D918B8"/>
    <w:rsid w:val="00D91933"/>
    <w:rsid w:val="00D91B31"/>
    <w:rsid w:val="00D92507"/>
    <w:rsid w:val="00D95561"/>
    <w:rsid w:val="00D968CF"/>
    <w:rsid w:val="00DA003B"/>
    <w:rsid w:val="00DA11CB"/>
    <w:rsid w:val="00DB3AC5"/>
    <w:rsid w:val="00DB4211"/>
    <w:rsid w:val="00DB55D4"/>
    <w:rsid w:val="00DB5E8F"/>
    <w:rsid w:val="00DC01B7"/>
    <w:rsid w:val="00DC250A"/>
    <w:rsid w:val="00DC280E"/>
    <w:rsid w:val="00DC645C"/>
    <w:rsid w:val="00DC653C"/>
    <w:rsid w:val="00DC6943"/>
    <w:rsid w:val="00DD1E41"/>
    <w:rsid w:val="00DD37C6"/>
    <w:rsid w:val="00DD4555"/>
    <w:rsid w:val="00DD7694"/>
    <w:rsid w:val="00DD7AC7"/>
    <w:rsid w:val="00DE5D62"/>
    <w:rsid w:val="00DF0160"/>
    <w:rsid w:val="00DF214B"/>
    <w:rsid w:val="00DF2807"/>
    <w:rsid w:val="00DF4280"/>
    <w:rsid w:val="00DF46B0"/>
    <w:rsid w:val="00DF4921"/>
    <w:rsid w:val="00DF5403"/>
    <w:rsid w:val="00DF6960"/>
    <w:rsid w:val="00DF6EB8"/>
    <w:rsid w:val="00DF6FAD"/>
    <w:rsid w:val="00E01647"/>
    <w:rsid w:val="00E036C9"/>
    <w:rsid w:val="00E0736E"/>
    <w:rsid w:val="00E10368"/>
    <w:rsid w:val="00E14627"/>
    <w:rsid w:val="00E14708"/>
    <w:rsid w:val="00E17C97"/>
    <w:rsid w:val="00E20A23"/>
    <w:rsid w:val="00E20F11"/>
    <w:rsid w:val="00E21AE2"/>
    <w:rsid w:val="00E2565B"/>
    <w:rsid w:val="00E2702B"/>
    <w:rsid w:val="00E3178C"/>
    <w:rsid w:val="00E3274B"/>
    <w:rsid w:val="00E329FB"/>
    <w:rsid w:val="00E342ED"/>
    <w:rsid w:val="00E35657"/>
    <w:rsid w:val="00E36534"/>
    <w:rsid w:val="00E37D66"/>
    <w:rsid w:val="00E507D8"/>
    <w:rsid w:val="00E547DA"/>
    <w:rsid w:val="00E568C2"/>
    <w:rsid w:val="00E5745C"/>
    <w:rsid w:val="00E619CD"/>
    <w:rsid w:val="00E661C6"/>
    <w:rsid w:val="00E67FC1"/>
    <w:rsid w:val="00E7206C"/>
    <w:rsid w:val="00E73032"/>
    <w:rsid w:val="00E738B8"/>
    <w:rsid w:val="00E74012"/>
    <w:rsid w:val="00E74756"/>
    <w:rsid w:val="00E76DA2"/>
    <w:rsid w:val="00E77AB3"/>
    <w:rsid w:val="00E80E1B"/>
    <w:rsid w:val="00E8174F"/>
    <w:rsid w:val="00E82CBA"/>
    <w:rsid w:val="00E83497"/>
    <w:rsid w:val="00E86C29"/>
    <w:rsid w:val="00E9002B"/>
    <w:rsid w:val="00E91B79"/>
    <w:rsid w:val="00E95797"/>
    <w:rsid w:val="00E95C34"/>
    <w:rsid w:val="00E95F32"/>
    <w:rsid w:val="00E969DA"/>
    <w:rsid w:val="00EA15CE"/>
    <w:rsid w:val="00EA2819"/>
    <w:rsid w:val="00EA46E9"/>
    <w:rsid w:val="00EA783B"/>
    <w:rsid w:val="00EA78EF"/>
    <w:rsid w:val="00EB06F7"/>
    <w:rsid w:val="00EB0C44"/>
    <w:rsid w:val="00EB1B13"/>
    <w:rsid w:val="00EB6A3B"/>
    <w:rsid w:val="00EB702E"/>
    <w:rsid w:val="00EB7D0E"/>
    <w:rsid w:val="00EC15AD"/>
    <w:rsid w:val="00EC1A4D"/>
    <w:rsid w:val="00EC285C"/>
    <w:rsid w:val="00EC7169"/>
    <w:rsid w:val="00ED1342"/>
    <w:rsid w:val="00ED14B0"/>
    <w:rsid w:val="00ED2CEF"/>
    <w:rsid w:val="00ED2FBB"/>
    <w:rsid w:val="00ED3F7F"/>
    <w:rsid w:val="00ED416F"/>
    <w:rsid w:val="00ED474E"/>
    <w:rsid w:val="00ED6665"/>
    <w:rsid w:val="00EE0C61"/>
    <w:rsid w:val="00EE33EF"/>
    <w:rsid w:val="00EF3297"/>
    <w:rsid w:val="00EF448F"/>
    <w:rsid w:val="00EF4B27"/>
    <w:rsid w:val="00EF5073"/>
    <w:rsid w:val="00EF53E8"/>
    <w:rsid w:val="00EF66CF"/>
    <w:rsid w:val="00EF6AC6"/>
    <w:rsid w:val="00F02CED"/>
    <w:rsid w:val="00F04D8B"/>
    <w:rsid w:val="00F06A58"/>
    <w:rsid w:val="00F10E5B"/>
    <w:rsid w:val="00F129EA"/>
    <w:rsid w:val="00F133AA"/>
    <w:rsid w:val="00F13C59"/>
    <w:rsid w:val="00F166EF"/>
    <w:rsid w:val="00F177C1"/>
    <w:rsid w:val="00F202AA"/>
    <w:rsid w:val="00F2224F"/>
    <w:rsid w:val="00F2363F"/>
    <w:rsid w:val="00F24544"/>
    <w:rsid w:val="00F24D6E"/>
    <w:rsid w:val="00F262A1"/>
    <w:rsid w:val="00F26B80"/>
    <w:rsid w:val="00F27532"/>
    <w:rsid w:val="00F27BB9"/>
    <w:rsid w:val="00F302E4"/>
    <w:rsid w:val="00F31862"/>
    <w:rsid w:val="00F33385"/>
    <w:rsid w:val="00F339C1"/>
    <w:rsid w:val="00F36947"/>
    <w:rsid w:val="00F431BB"/>
    <w:rsid w:val="00F43957"/>
    <w:rsid w:val="00F43A4F"/>
    <w:rsid w:val="00F43B69"/>
    <w:rsid w:val="00F43DDE"/>
    <w:rsid w:val="00F51099"/>
    <w:rsid w:val="00F51CC4"/>
    <w:rsid w:val="00F537D3"/>
    <w:rsid w:val="00F56583"/>
    <w:rsid w:val="00F57D15"/>
    <w:rsid w:val="00F60C0E"/>
    <w:rsid w:val="00F6152C"/>
    <w:rsid w:val="00F63A1A"/>
    <w:rsid w:val="00F64C6B"/>
    <w:rsid w:val="00F65926"/>
    <w:rsid w:val="00F6718A"/>
    <w:rsid w:val="00F7390A"/>
    <w:rsid w:val="00F739DF"/>
    <w:rsid w:val="00F7428A"/>
    <w:rsid w:val="00F761FB"/>
    <w:rsid w:val="00F779F1"/>
    <w:rsid w:val="00F81590"/>
    <w:rsid w:val="00F84D95"/>
    <w:rsid w:val="00F855C5"/>
    <w:rsid w:val="00F875B8"/>
    <w:rsid w:val="00F875C4"/>
    <w:rsid w:val="00F87F1B"/>
    <w:rsid w:val="00F91222"/>
    <w:rsid w:val="00F917A9"/>
    <w:rsid w:val="00F94101"/>
    <w:rsid w:val="00FA0344"/>
    <w:rsid w:val="00FA1641"/>
    <w:rsid w:val="00FA3D62"/>
    <w:rsid w:val="00FA488F"/>
    <w:rsid w:val="00FA5F7B"/>
    <w:rsid w:val="00FA60C0"/>
    <w:rsid w:val="00FB02A4"/>
    <w:rsid w:val="00FB1249"/>
    <w:rsid w:val="00FB1602"/>
    <w:rsid w:val="00FB29C0"/>
    <w:rsid w:val="00FB3A8E"/>
    <w:rsid w:val="00FB5E5D"/>
    <w:rsid w:val="00FB73A9"/>
    <w:rsid w:val="00FC0844"/>
    <w:rsid w:val="00FC37F8"/>
    <w:rsid w:val="00FC3BD5"/>
    <w:rsid w:val="00FC61DC"/>
    <w:rsid w:val="00FC659A"/>
    <w:rsid w:val="00FD0DF8"/>
    <w:rsid w:val="00FD1221"/>
    <w:rsid w:val="00FD324B"/>
    <w:rsid w:val="00FD4411"/>
    <w:rsid w:val="00FD7EA3"/>
    <w:rsid w:val="00FE1FCF"/>
    <w:rsid w:val="00FE3070"/>
    <w:rsid w:val="00FE44D4"/>
    <w:rsid w:val="00FE5B26"/>
    <w:rsid w:val="00FF1275"/>
    <w:rsid w:val="00FF260C"/>
    <w:rsid w:val="00FF4DD2"/>
    <w:rsid w:val="00FF61E9"/>
    <w:rsid w:val="01265E39"/>
    <w:rsid w:val="01DF7A8D"/>
    <w:rsid w:val="020D6579"/>
    <w:rsid w:val="02364D75"/>
    <w:rsid w:val="02B17B2A"/>
    <w:rsid w:val="05E10A31"/>
    <w:rsid w:val="061834DB"/>
    <w:rsid w:val="062E7955"/>
    <w:rsid w:val="08C4403E"/>
    <w:rsid w:val="09333A0B"/>
    <w:rsid w:val="0A6B1A17"/>
    <w:rsid w:val="0ABE2CAA"/>
    <w:rsid w:val="0B1B411C"/>
    <w:rsid w:val="0C247BBB"/>
    <w:rsid w:val="0F94627E"/>
    <w:rsid w:val="0F9F1BB4"/>
    <w:rsid w:val="117D4ADA"/>
    <w:rsid w:val="13D80AB2"/>
    <w:rsid w:val="168D01B9"/>
    <w:rsid w:val="17A0182E"/>
    <w:rsid w:val="17A413DA"/>
    <w:rsid w:val="18805EB3"/>
    <w:rsid w:val="18B80E77"/>
    <w:rsid w:val="18CC7F71"/>
    <w:rsid w:val="19AE27E5"/>
    <w:rsid w:val="19C15A76"/>
    <w:rsid w:val="1A0B7964"/>
    <w:rsid w:val="1B295414"/>
    <w:rsid w:val="1BF556B5"/>
    <w:rsid w:val="1D1467F8"/>
    <w:rsid w:val="1D3656FA"/>
    <w:rsid w:val="1EC05656"/>
    <w:rsid w:val="1FAA65A5"/>
    <w:rsid w:val="2029137B"/>
    <w:rsid w:val="21444784"/>
    <w:rsid w:val="21A23501"/>
    <w:rsid w:val="2213575E"/>
    <w:rsid w:val="23FA6589"/>
    <w:rsid w:val="26F157DE"/>
    <w:rsid w:val="26FC0746"/>
    <w:rsid w:val="27921941"/>
    <w:rsid w:val="27B05739"/>
    <w:rsid w:val="27F71170"/>
    <w:rsid w:val="28745408"/>
    <w:rsid w:val="2A3907B5"/>
    <w:rsid w:val="2A6A44BA"/>
    <w:rsid w:val="2AE81723"/>
    <w:rsid w:val="2D295D44"/>
    <w:rsid w:val="2D675FE2"/>
    <w:rsid w:val="2D6812E7"/>
    <w:rsid w:val="2F460A8D"/>
    <w:rsid w:val="2F6E72EB"/>
    <w:rsid w:val="2F753089"/>
    <w:rsid w:val="3068022C"/>
    <w:rsid w:val="30C22B85"/>
    <w:rsid w:val="33637B6D"/>
    <w:rsid w:val="346B697C"/>
    <w:rsid w:val="35076181"/>
    <w:rsid w:val="35E60B88"/>
    <w:rsid w:val="35E76105"/>
    <w:rsid w:val="361D6BD5"/>
    <w:rsid w:val="365D1BC7"/>
    <w:rsid w:val="367540DC"/>
    <w:rsid w:val="36C42BA2"/>
    <w:rsid w:val="393214A2"/>
    <w:rsid w:val="3A1024F1"/>
    <w:rsid w:val="3A3415B2"/>
    <w:rsid w:val="3B605CA8"/>
    <w:rsid w:val="3BF2158E"/>
    <w:rsid w:val="3C231D19"/>
    <w:rsid w:val="3C805E0B"/>
    <w:rsid w:val="3CA213C6"/>
    <w:rsid w:val="3D6A58A3"/>
    <w:rsid w:val="3DE116A5"/>
    <w:rsid w:val="3EDD213A"/>
    <w:rsid w:val="3F020C6B"/>
    <w:rsid w:val="4022001E"/>
    <w:rsid w:val="40315613"/>
    <w:rsid w:val="40D4129A"/>
    <w:rsid w:val="41E92E36"/>
    <w:rsid w:val="42F47EA0"/>
    <w:rsid w:val="430A0526"/>
    <w:rsid w:val="445E59A1"/>
    <w:rsid w:val="459C0EC7"/>
    <w:rsid w:val="45CF3ABD"/>
    <w:rsid w:val="467C2574"/>
    <w:rsid w:val="46CC7128"/>
    <w:rsid w:val="46D217C0"/>
    <w:rsid w:val="476D421F"/>
    <w:rsid w:val="490350BE"/>
    <w:rsid w:val="4B4C5917"/>
    <w:rsid w:val="4CB50AD9"/>
    <w:rsid w:val="4D497390"/>
    <w:rsid w:val="4E252107"/>
    <w:rsid w:val="4E56711E"/>
    <w:rsid w:val="504A4602"/>
    <w:rsid w:val="518C4BF0"/>
    <w:rsid w:val="52BD1866"/>
    <w:rsid w:val="531B7357"/>
    <w:rsid w:val="56CC69E0"/>
    <w:rsid w:val="56ED7FF4"/>
    <w:rsid w:val="5814112D"/>
    <w:rsid w:val="58B42C3C"/>
    <w:rsid w:val="58DB407A"/>
    <w:rsid w:val="5B2B4D51"/>
    <w:rsid w:val="5BA5412F"/>
    <w:rsid w:val="5C610500"/>
    <w:rsid w:val="5D2E7C4E"/>
    <w:rsid w:val="5D556530"/>
    <w:rsid w:val="5E017F1E"/>
    <w:rsid w:val="5F03582C"/>
    <w:rsid w:val="5F080343"/>
    <w:rsid w:val="5FEC03E0"/>
    <w:rsid w:val="61890A87"/>
    <w:rsid w:val="626C0230"/>
    <w:rsid w:val="626D7CCB"/>
    <w:rsid w:val="63A65FB4"/>
    <w:rsid w:val="63D943DE"/>
    <w:rsid w:val="66970EF0"/>
    <w:rsid w:val="671C2FB8"/>
    <w:rsid w:val="674E51C6"/>
    <w:rsid w:val="690C3DA3"/>
    <w:rsid w:val="696D5A9D"/>
    <w:rsid w:val="6A0D7B15"/>
    <w:rsid w:val="6A7948A6"/>
    <w:rsid w:val="6B8D0201"/>
    <w:rsid w:val="6BE720B7"/>
    <w:rsid w:val="6C576B93"/>
    <w:rsid w:val="6DB55E42"/>
    <w:rsid w:val="6E1D15D8"/>
    <w:rsid w:val="6E7235F6"/>
    <w:rsid w:val="6FC137A3"/>
    <w:rsid w:val="708946FE"/>
    <w:rsid w:val="70946EAF"/>
    <w:rsid w:val="70A801A3"/>
    <w:rsid w:val="70E757E4"/>
    <w:rsid w:val="714D1988"/>
    <w:rsid w:val="71573C14"/>
    <w:rsid w:val="718512FA"/>
    <w:rsid w:val="73405E51"/>
    <w:rsid w:val="74614317"/>
    <w:rsid w:val="746C07E8"/>
    <w:rsid w:val="74EA60E0"/>
    <w:rsid w:val="759350FD"/>
    <w:rsid w:val="77E757E9"/>
    <w:rsid w:val="78345C8E"/>
    <w:rsid w:val="795F0793"/>
    <w:rsid w:val="79C14A3A"/>
    <w:rsid w:val="7A2363FD"/>
    <w:rsid w:val="7A735845"/>
    <w:rsid w:val="7AE57CF9"/>
    <w:rsid w:val="7BF65F1A"/>
    <w:rsid w:val="7C25175B"/>
    <w:rsid w:val="7D0838D5"/>
    <w:rsid w:val="7E3D052F"/>
    <w:rsid w:val="7EA11F4A"/>
    <w:rsid w:val="7F4A15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rules v:ext="edit">
        <o:r id="V:Rule1" type="connector" idref="#_x0000_s218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Arial"/>
      <w:sz w:val="18"/>
      <w:szCs w:val="18"/>
      <w:lang w:val="en-US" w:eastAsia="zh-CN" w:bidi="ar-SA"/>
    </w:rPr>
  </w:style>
  <w:style w:type="paragraph" w:styleId="2">
    <w:name w:val="heading 1"/>
    <w:basedOn w:val="1"/>
    <w:next w:val="1"/>
    <w:link w:val="46"/>
    <w:qFormat/>
    <w:uiPriority w:val="99"/>
    <w:pPr>
      <w:keepNext/>
      <w:keepLines/>
      <w:spacing w:before="120" w:after="120"/>
      <w:outlineLvl w:val="0"/>
    </w:pPr>
    <w:rPr>
      <w:rFonts w:ascii="Times New Roman" w:hAnsi="Times New Roman" w:eastAsia="黑体" w:cs="Times New Roman"/>
      <w:kern w:val="44"/>
      <w:sz w:val="30"/>
      <w:szCs w:val="20"/>
    </w:rPr>
  </w:style>
  <w:style w:type="paragraph" w:styleId="3">
    <w:name w:val="heading 2"/>
    <w:basedOn w:val="1"/>
    <w:next w:val="1"/>
    <w:link w:val="54"/>
    <w:qFormat/>
    <w:uiPriority w:val="99"/>
    <w:pPr>
      <w:keepNext/>
      <w:keepLines/>
      <w:spacing w:before="260" w:after="260" w:line="415" w:lineRule="auto"/>
      <w:outlineLvl w:val="1"/>
    </w:pPr>
    <w:rPr>
      <w:rFonts w:cs="Times New Roman"/>
      <w:b/>
      <w:kern w:val="2"/>
      <w:sz w:val="32"/>
      <w:szCs w:val="20"/>
    </w:rPr>
  </w:style>
  <w:style w:type="paragraph" w:styleId="4">
    <w:name w:val="heading 3"/>
    <w:basedOn w:val="1"/>
    <w:next w:val="1"/>
    <w:link w:val="29"/>
    <w:qFormat/>
    <w:uiPriority w:val="0"/>
    <w:pPr>
      <w:keepNext/>
      <w:keepLines/>
      <w:spacing w:before="260" w:after="260" w:line="415" w:lineRule="auto"/>
      <w:outlineLvl w:val="2"/>
    </w:pPr>
    <w:rPr>
      <w:rFonts w:ascii="Times New Roman" w:hAnsi="Times New Roman" w:cs="Times New Roman"/>
      <w:b/>
      <w:kern w:val="2"/>
      <w:sz w:val="32"/>
      <w:szCs w:val="20"/>
    </w:rPr>
  </w:style>
  <w:style w:type="character" w:default="1" w:styleId="21">
    <w:name w:val="Default Paragraph Font"/>
    <w:unhideWhenUsed/>
    <w:qFormat/>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5">
    <w:name w:val="Body Text First Indent"/>
    <w:basedOn w:val="6"/>
    <w:link w:val="45"/>
    <w:qFormat/>
    <w:uiPriority w:val="0"/>
    <w:pPr>
      <w:ind w:firstLine="420" w:firstLineChars="100"/>
    </w:pPr>
    <w:rPr>
      <w:rFonts w:ascii="Times New Roman" w:hAnsi="Times New Roman" w:cs="Times New Roman"/>
      <w:kern w:val="2"/>
      <w:sz w:val="21"/>
      <w:szCs w:val="20"/>
    </w:rPr>
  </w:style>
  <w:style w:type="paragraph" w:styleId="6">
    <w:name w:val="Body Text"/>
    <w:basedOn w:val="1"/>
    <w:link w:val="42"/>
    <w:qFormat/>
    <w:uiPriority w:val="0"/>
    <w:pPr>
      <w:spacing w:after="120"/>
    </w:pPr>
  </w:style>
  <w:style w:type="paragraph" w:styleId="7">
    <w:name w:val="Normal Indent"/>
    <w:basedOn w:val="1"/>
    <w:link w:val="36"/>
    <w:qFormat/>
    <w:uiPriority w:val="99"/>
    <w:pPr>
      <w:ind w:firstLine="420"/>
    </w:pPr>
    <w:rPr>
      <w:rFonts w:ascii="Calibri" w:hAnsi="Calibri" w:cs="Times New Roman"/>
      <w:kern w:val="2"/>
      <w:sz w:val="21"/>
      <w:szCs w:val="20"/>
    </w:rPr>
  </w:style>
  <w:style w:type="paragraph" w:styleId="8">
    <w:name w:val="annotation text"/>
    <w:basedOn w:val="1"/>
    <w:link w:val="40"/>
    <w:qFormat/>
    <w:uiPriority w:val="99"/>
    <w:pPr>
      <w:jc w:val="left"/>
    </w:pPr>
    <w:rPr>
      <w:rFonts w:ascii="Times New Roman" w:hAnsi="Times New Roman" w:cs="Times New Roman"/>
      <w:kern w:val="2"/>
      <w:sz w:val="21"/>
      <w:szCs w:val="20"/>
    </w:rPr>
  </w:style>
  <w:style w:type="paragraph" w:styleId="9">
    <w:name w:val="Body Text Indent"/>
    <w:basedOn w:val="1"/>
    <w:qFormat/>
    <w:uiPriority w:val="0"/>
    <w:pPr>
      <w:spacing w:after="120"/>
      <w:ind w:left="420" w:leftChars="200"/>
    </w:pPr>
  </w:style>
  <w:style w:type="paragraph" w:styleId="10">
    <w:name w:val="toc 3"/>
    <w:basedOn w:val="1"/>
    <w:next w:val="1"/>
    <w:qFormat/>
    <w:uiPriority w:val="39"/>
    <w:pPr>
      <w:ind w:left="840" w:leftChars="400"/>
    </w:pPr>
    <w:rPr>
      <w:rFonts w:ascii="Times New Roman" w:hAnsi="Times New Roman" w:cs="Times New Roman"/>
      <w:kern w:val="2"/>
      <w:sz w:val="21"/>
      <w:szCs w:val="24"/>
    </w:rPr>
  </w:style>
  <w:style w:type="paragraph" w:styleId="11">
    <w:name w:val="Plain Text"/>
    <w:basedOn w:val="1"/>
    <w:link w:val="39"/>
    <w:qFormat/>
    <w:uiPriority w:val="0"/>
    <w:rPr>
      <w:rFonts w:ascii="宋体" w:hAnsi="Courier New" w:cs="Courier New"/>
      <w:kern w:val="2"/>
      <w:sz w:val="21"/>
      <w:szCs w:val="21"/>
    </w:rPr>
  </w:style>
  <w:style w:type="paragraph" w:styleId="12">
    <w:name w:val="Date"/>
    <w:basedOn w:val="1"/>
    <w:next w:val="1"/>
    <w:link w:val="31"/>
    <w:qFormat/>
    <w:uiPriority w:val="99"/>
    <w:pPr>
      <w:ind w:left="100" w:leftChars="2500"/>
    </w:pPr>
  </w:style>
  <w:style w:type="paragraph" w:styleId="13">
    <w:name w:val="Body Text Indent 2"/>
    <w:basedOn w:val="1"/>
    <w:link w:val="76"/>
    <w:qFormat/>
    <w:uiPriority w:val="0"/>
    <w:pPr>
      <w:spacing w:after="120" w:line="480" w:lineRule="auto"/>
      <w:ind w:left="420" w:leftChars="200"/>
    </w:pPr>
  </w:style>
  <w:style w:type="paragraph" w:styleId="14">
    <w:name w:val="Balloon Text"/>
    <w:basedOn w:val="1"/>
    <w:link w:val="33"/>
    <w:qFormat/>
    <w:uiPriority w:val="99"/>
    <w:rPr>
      <w:rFonts w:ascii="Times New Roman" w:hAnsi="Times New Roman" w:cs="Times New Roman"/>
      <w:kern w:val="2"/>
    </w:rPr>
  </w:style>
  <w:style w:type="paragraph" w:styleId="15">
    <w:name w:val="footer"/>
    <w:basedOn w:val="1"/>
    <w:link w:val="28"/>
    <w:qFormat/>
    <w:uiPriority w:val="99"/>
    <w:pPr>
      <w:tabs>
        <w:tab w:val="center" w:pos="4153"/>
        <w:tab w:val="right" w:pos="8306"/>
      </w:tabs>
      <w:snapToGrid w:val="0"/>
      <w:jc w:val="left"/>
    </w:pPr>
  </w:style>
  <w:style w:type="paragraph" w:styleId="16">
    <w:name w:val="header"/>
    <w:basedOn w:val="1"/>
    <w:link w:val="49"/>
    <w:qFormat/>
    <w:uiPriority w:val="99"/>
    <w:pPr>
      <w:pBdr>
        <w:bottom w:val="single" w:color="auto" w:sz="6" w:space="1"/>
      </w:pBdr>
      <w:tabs>
        <w:tab w:val="center" w:pos="4153"/>
        <w:tab w:val="right" w:pos="8306"/>
      </w:tabs>
      <w:snapToGrid w:val="0"/>
      <w:jc w:val="center"/>
    </w:pPr>
  </w:style>
  <w:style w:type="paragraph" w:styleId="17">
    <w:name w:val="toc 1"/>
    <w:basedOn w:val="1"/>
    <w:next w:val="1"/>
    <w:qFormat/>
    <w:uiPriority w:val="39"/>
    <w:pPr>
      <w:tabs>
        <w:tab w:val="right" w:leader="dot" w:pos="8296"/>
      </w:tabs>
      <w:jc w:val="center"/>
    </w:pPr>
    <w:rPr>
      <w:rFonts w:ascii="仿宋_GB2312" w:hAnsi="华文细黑" w:eastAsia="仿宋_GB2312" w:cs="Times New Roman"/>
      <w:kern w:val="2"/>
      <w:sz w:val="28"/>
      <w:szCs w:val="28"/>
    </w:rPr>
  </w:style>
  <w:style w:type="paragraph" w:styleId="18">
    <w:name w:val="toc 2"/>
    <w:basedOn w:val="1"/>
    <w:next w:val="1"/>
    <w:qFormat/>
    <w:uiPriority w:val="39"/>
    <w:pPr>
      <w:ind w:left="420" w:leftChars="200"/>
    </w:pPr>
    <w:rPr>
      <w:rFonts w:ascii="Times New Roman" w:hAnsi="Times New Roman" w:cs="Times New Roman"/>
      <w:kern w:val="2"/>
      <w:sz w:val="21"/>
      <w:szCs w:val="24"/>
    </w:rPr>
  </w:style>
  <w:style w:type="paragraph" w:styleId="19">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20">
    <w:name w:val="Title"/>
    <w:basedOn w:val="1"/>
    <w:next w:val="1"/>
    <w:link w:val="81"/>
    <w:qFormat/>
    <w:uiPriority w:val="10"/>
    <w:pPr>
      <w:adjustRightInd w:val="0"/>
      <w:snapToGrid w:val="0"/>
      <w:jc w:val="center"/>
    </w:pPr>
    <w:rPr>
      <w:rFonts w:ascii="Times New Roman" w:hAnsi="Times New Roman" w:cs="Times New Roman"/>
      <w:bCs/>
      <w:kern w:val="2"/>
      <w:sz w:val="21"/>
      <w:szCs w:val="21"/>
    </w:rPr>
  </w:style>
  <w:style w:type="character" w:styleId="22">
    <w:name w:val="Strong"/>
    <w:basedOn w:val="21"/>
    <w:qFormat/>
    <w:uiPriority w:val="0"/>
    <w:rPr>
      <w:rFonts w:cs="Times New Roman"/>
      <w:b/>
    </w:rPr>
  </w:style>
  <w:style w:type="character" w:styleId="23">
    <w:name w:val="page number"/>
    <w:basedOn w:val="21"/>
    <w:qFormat/>
    <w:uiPriority w:val="99"/>
  </w:style>
  <w:style w:type="character" w:styleId="24">
    <w:name w:val="Hyperlink"/>
    <w:basedOn w:val="21"/>
    <w:qFormat/>
    <w:uiPriority w:val="99"/>
    <w:rPr>
      <w:color w:val="000000"/>
      <w:u w:val="none"/>
    </w:rPr>
  </w:style>
  <w:style w:type="character" w:styleId="25">
    <w:name w:val="annotation reference"/>
    <w:basedOn w:val="21"/>
    <w:qFormat/>
    <w:uiPriority w:val="99"/>
    <w:rPr>
      <w:rFonts w:cs="Times New Roman"/>
      <w:sz w:val="21"/>
      <w:szCs w:val="21"/>
    </w:r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8">
    <w:name w:val="页脚 Char"/>
    <w:basedOn w:val="21"/>
    <w:link w:val="15"/>
    <w:qFormat/>
    <w:locked/>
    <w:uiPriority w:val="99"/>
    <w:rPr>
      <w:rFonts w:ascii="Arial" w:hAnsi="Arial" w:cs="Arial"/>
      <w:sz w:val="18"/>
      <w:szCs w:val="18"/>
    </w:rPr>
  </w:style>
  <w:style w:type="character" w:customStyle="1" w:styleId="29">
    <w:name w:val="标题 3 Char"/>
    <w:basedOn w:val="21"/>
    <w:link w:val="4"/>
    <w:qFormat/>
    <w:uiPriority w:val="0"/>
    <w:rPr>
      <w:rFonts w:eastAsia="宋体"/>
      <w:b/>
      <w:kern w:val="2"/>
      <w:sz w:val="32"/>
      <w:lang w:val="en-US" w:eastAsia="zh-CN" w:bidi="ar-SA"/>
    </w:rPr>
  </w:style>
  <w:style w:type="character" w:customStyle="1" w:styleId="30">
    <w:name w:val="标题 2 Char"/>
    <w:basedOn w:val="21"/>
    <w:qFormat/>
    <w:uiPriority w:val="99"/>
    <w:rPr>
      <w:rFonts w:ascii="Arial" w:hAnsi="Arial" w:eastAsia="黑体"/>
      <w:kern w:val="2"/>
      <w:sz w:val="32"/>
      <w:lang w:val="en-US" w:eastAsia="zh-CN"/>
    </w:rPr>
  </w:style>
  <w:style w:type="character" w:customStyle="1" w:styleId="31">
    <w:name w:val="日期 Char"/>
    <w:basedOn w:val="21"/>
    <w:link w:val="12"/>
    <w:qFormat/>
    <w:locked/>
    <w:uiPriority w:val="99"/>
    <w:rPr>
      <w:rFonts w:ascii="Arial" w:hAnsi="Arial" w:cs="Arial"/>
      <w:sz w:val="18"/>
      <w:szCs w:val="18"/>
    </w:rPr>
  </w:style>
  <w:style w:type="character" w:customStyle="1" w:styleId="32">
    <w:name w:val="正文1"/>
    <w:basedOn w:val="21"/>
    <w:qFormat/>
    <w:uiPriority w:val="0"/>
    <w:rPr>
      <w:rFonts w:hint="eastAsia" w:ascii="宋体" w:hAnsi="宋体" w:eastAsia="宋体"/>
      <w:color w:val="000000"/>
      <w:sz w:val="22"/>
      <w:szCs w:val="22"/>
    </w:rPr>
  </w:style>
  <w:style w:type="character" w:customStyle="1" w:styleId="33">
    <w:name w:val="批注框文本 Char"/>
    <w:basedOn w:val="21"/>
    <w:link w:val="14"/>
    <w:qFormat/>
    <w:uiPriority w:val="99"/>
    <w:rPr>
      <w:kern w:val="2"/>
      <w:sz w:val="18"/>
      <w:szCs w:val="18"/>
    </w:rPr>
  </w:style>
  <w:style w:type="character" w:customStyle="1" w:styleId="34">
    <w:name w:val="引用 Char"/>
    <w:basedOn w:val="21"/>
    <w:link w:val="35"/>
    <w:qFormat/>
    <w:uiPriority w:val="0"/>
    <w:rPr>
      <w:rFonts w:eastAsia="楷体_GB2312"/>
      <w:kern w:val="2"/>
      <w:sz w:val="28"/>
    </w:rPr>
  </w:style>
  <w:style w:type="paragraph" w:customStyle="1" w:styleId="35">
    <w:name w:val="引用1"/>
    <w:basedOn w:val="1"/>
    <w:link w:val="34"/>
    <w:qFormat/>
    <w:uiPriority w:val="0"/>
    <w:pPr>
      <w:adjustRightInd w:val="0"/>
      <w:spacing w:line="500" w:lineRule="exact"/>
      <w:jc w:val="center"/>
    </w:pPr>
    <w:rPr>
      <w:rFonts w:ascii="Times New Roman" w:hAnsi="Times New Roman" w:eastAsia="楷体_GB2312" w:cs="Times New Roman"/>
      <w:kern w:val="2"/>
      <w:sz w:val="28"/>
      <w:szCs w:val="20"/>
    </w:rPr>
  </w:style>
  <w:style w:type="character" w:customStyle="1" w:styleId="36">
    <w:name w:val="正文缩进 Char"/>
    <w:link w:val="7"/>
    <w:qFormat/>
    <w:locked/>
    <w:uiPriority w:val="99"/>
    <w:rPr>
      <w:kern w:val="2"/>
      <w:sz w:val="21"/>
    </w:rPr>
  </w:style>
  <w:style w:type="character" w:customStyle="1" w:styleId="37">
    <w:name w:val="正文格式 Char"/>
    <w:link w:val="38"/>
    <w:qFormat/>
    <w:uiPriority w:val="0"/>
    <w:rPr>
      <w:rFonts w:ascii="宋体" w:hAnsi="宋体"/>
      <w:spacing w:val="8"/>
      <w:sz w:val="24"/>
      <w:szCs w:val="28"/>
    </w:rPr>
  </w:style>
  <w:style w:type="paragraph" w:customStyle="1" w:styleId="38">
    <w:name w:val="正文格式"/>
    <w:basedOn w:val="1"/>
    <w:link w:val="37"/>
    <w:qFormat/>
    <w:uiPriority w:val="0"/>
    <w:pPr>
      <w:adjustRightInd w:val="0"/>
      <w:spacing w:beforeLines="30" w:afterLines="30" w:line="300" w:lineRule="auto"/>
      <w:ind w:firstLine="200" w:firstLineChars="200"/>
      <w:textAlignment w:val="baseline"/>
    </w:pPr>
    <w:rPr>
      <w:rFonts w:ascii="宋体" w:hAnsi="宋体" w:cs="Times New Roman"/>
      <w:spacing w:val="8"/>
      <w:sz w:val="24"/>
      <w:szCs w:val="28"/>
    </w:rPr>
  </w:style>
  <w:style w:type="character" w:customStyle="1" w:styleId="39">
    <w:name w:val="纯文本 Char"/>
    <w:basedOn w:val="21"/>
    <w:link w:val="11"/>
    <w:qFormat/>
    <w:uiPriority w:val="99"/>
    <w:rPr>
      <w:rFonts w:ascii="宋体" w:hAnsi="Courier New" w:cs="Courier New"/>
      <w:kern w:val="2"/>
      <w:sz w:val="21"/>
      <w:szCs w:val="21"/>
    </w:rPr>
  </w:style>
  <w:style w:type="character" w:customStyle="1" w:styleId="40">
    <w:name w:val="批注文字 Char"/>
    <w:basedOn w:val="21"/>
    <w:link w:val="8"/>
    <w:qFormat/>
    <w:uiPriority w:val="99"/>
    <w:rPr>
      <w:kern w:val="2"/>
      <w:sz w:val="21"/>
    </w:rPr>
  </w:style>
  <w:style w:type="character" w:customStyle="1" w:styleId="41">
    <w:name w:val="正文首行缩进 Char1"/>
    <w:basedOn w:val="42"/>
    <w:qFormat/>
    <w:uiPriority w:val="0"/>
    <w:rPr>
      <w:rFonts w:hint="default" w:ascii="Arial" w:hAnsi="Arial" w:cs="Arial"/>
      <w:sz w:val="18"/>
      <w:szCs w:val="18"/>
    </w:rPr>
  </w:style>
  <w:style w:type="character" w:customStyle="1" w:styleId="42">
    <w:name w:val="正文文本 Char"/>
    <w:basedOn w:val="21"/>
    <w:link w:val="6"/>
    <w:qFormat/>
    <w:uiPriority w:val="0"/>
    <w:rPr>
      <w:rFonts w:hint="default" w:ascii="Arial" w:hAnsi="Arial" w:cs="Arial"/>
      <w:sz w:val="18"/>
      <w:szCs w:val="18"/>
    </w:rPr>
  </w:style>
  <w:style w:type="character" w:customStyle="1" w:styleId="43">
    <w:name w:val="5文章(治) Char Char"/>
    <w:link w:val="44"/>
    <w:qFormat/>
    <w:locked/>
    <w:uiPriority w:val="0"/>
    <w:rPr>
      <w:rFonts w:ascii="Arial" w:hAnsi="Arial"/>
      <w:snapToGrid w:val="0"/>
      <w:sz w:val="21"/>
    </w:rPr>
  </w:style>
  <w:style w:type="paragraph" w:customStyle="1" w:styleId="44">
    <w:name w:val="5文章(治)"/>
    <w:basedOn w:val="1"/>
    <w:link w:val="43"/>
    <w:qFormat/>
    <w:uiPriority w:val="0"/>
    <w:pPr>
      <w:spacing w:line="360" w:lineRule="auto"/>
      <w:ind w:firstLine="480" w:firstLineChars="200"/>
    </w:pPr>
    <w:rPr>
      <w:rFonts w:cs="Times New Roman"/>
      <w:snapToGrid w:val="0"/>
      <w:sz w:val="21"/>
      <w:szCs w:val="20"/>
    </w:rPr>
  </w:style>
  <w:style w:type="character" w:customStyle="1" w:styleId="45">
    <w:name w:val="正文首行缩进 Char"/>
    <w:basedOn w:val="21"/>
    <w:link w:val="5"/>
    <w:qFormat/>
    <w:uiPriority w:val="0"/>
    <w:rPr>
      <w:kern w:val="2"/>
      <w:sz w:val="21"/>
    </w:rPr>
  </w:style>
  <w:style w:type="character" w:customStyle="1" w:styleId="46">
    <w:name w:val="标题 1 Char"/>
    <w:basedOn w:val="21"/>
    <w:link w:val="2"/>
    <w:qFormat/>
    <w:locked/>
    <w:uiPriority w:val="99"/>
    <w:rPr>
      <w:rFonts w:eastAsia="黑体"/>
      <w:kern w:val="44"/>
      <w:sz w:val="30"/>
    </w:rPr>
  </w:style>
  <w:style w:type="character" w:customStyle="1" w:styleId="47">
    <w:name w:val="6表(图)头(治) Char Char"/>
    <w:link w:val="48"/>
    <w:qFormat/>
    <w:locked/>
    <w:uiPriority w:val="99"/>
    <w:rPr>
      <w:rFonts w:eastAsia="黑体"/>
      <w:b/>
      <w:sz w:val="28"/>
      <w:lang w:val="en-US" w:eastAsia="zh-CN" w:bidi="ar-SA"/>
    </w:rPr>
  </w:style>
  <w:style w:type="paragraph" w:customStyle="1" w:styleId="48">
    <w:name w:val="6表(图)头(治)"/>
    <w:next w:val="1"/>
    <w:link w:val="47"/>
    <w:qFormat/>
    <w:uiPriority w:val="99"/>
    <w:pPr>
      <w:widowControl w:val="0"/>
      <w:jc w:val="center"/>
    </w:pPr>
    <w:rPr>
      <w:rFonts w:ascii="Calibri" w:hAnsi="Calibri" w:eastAsia="黑体" w:cs="Times New Roman"/>
      <w:b/>
      <w:sz w:val="28"/>
      <w:lang w:val="en-US" w:eastAsia="zh-CN" w:bidi="ar-SA"/>
    </w:rPr>
  </w:style>
  <w:style w:type="character" w:customStyle="1" w:styleId="49">
    <w:name w:val="页眉 Char"/>
    <w:basedOn w:val="21"/>
    <w:link w:val="16"/>
    <w:qFormat/>
    <w:locked/>
    <w:uiPriority w:val="99"/>
    <w:rPr>
      <w:rFonts w:ascii="Arial" w:hAnsi="Arial" w:cs="Arial"/>
      <w:sz w:val="18"/>
      <w:szCs w:val="18"/>
    </w:rPr>
  </w:style>
  <w:style w:type="character" w:customStyle="1" w:styleId="50">
    <w:name w:val="正文缩进 Char1"/>
    <w:basedOn w:val="21"/>
    <w:qFormat/>
    <w:uiPriority w:val="0"/>
    <w:rPr>
      <w:rFonts w:ascii="宋体" w:eastAsia="宋体"/>
      <w:snapToGrid w:val="0"/>
      <w:sz w:val="28"/>
      <w:lang w:val="en-US" w:eastAsia="zh-CN" w:bidi="ar-SA"/>
    </w:rPr>
  </w:style>
  <w:style w:type="character" w:customStyle="1" w:styleId="51">
    <w:name w:val="纯文本 Char1"/>
    <w:basedOn w:val="21"/>
    <w:qFormat/>
    <w:uiPriority w:val="0"/>
    <w:rPr>
      <w:rFonts w:ascii="宋体" w:hAnsi="Courier New" w:eastAsia="宋体"/>
      <w:kern w:val="2"/>
      <w:sz w:val="21"/>
      <w:lang w:val="en-US" w:eastAsia="zh-CN" w:bidi="ar-SA"/>
    </w:rPr>
  </w:style>
  <w:style w:type="character" w:customStyle="1" w:styleId="52">
    <w:name w:val="font06 l22"/>
    <w:basedOn w:val="21"/>
    <w:qFormat/>
    <w:uiPriority w:val="0"/>
  </w:style>
  <w:style w:type="character" w:customStyle="1" w:styleId="53">
    <w:name w:val="第一部分1"/>
    <w:basedOn w:val="21"/>
    <w:qFormat/>
    <w:uiPriority w:val="0"/>
    <w:rPr>
      <w:rFonts w:ascii="宋体" w:hAnsi="宋体" w:eastAsia="宋体"/>
      <w:spacing w:val="800"/>
      <w:sz w:val="22"/>
      <w:szCs w:val="22"/>
    </w:rPr>
  </w:style>
  <w:style w:type="character" w:customStyle="1" w:styleId="54">
    <w:name w:val="标题 2 Char1"/>
    <w:basedOn w:val="21"/>
    <w:link w:val="3"/>
    <w:qFormat/>
    <w:uiPriority w:val="0"/>
    <w:rPr>
      <w:rFonts w:ascii="Arial" w:hAnsi="Arial" w:eastAsia="宋体"/>
      <w:b/>
      <w:kern w:val="2"/>
      <w:sz w:val="32"/>
      <w:lang w:val="en-US" w:eastAsia="zh-CN" w:bidi="ar-SA"/>
    </w:rPr>
  </w:style>
  <w:style w:type="paragraph" w:customStyle="1" w:styleId="55">
    <w:name w:val="(文字) (文字)"/>
    <w:basedOn w:val="1"/>
    <w:qFormat/>
    <w:uiPriority w:val="99"/>
    <w:pPr>
      <w:widowControl/>
      <w:spacing w:after="160" w:line="240" w:lineRule="exact"/>
      <w:jc w:val="left"/>
    </w:pPr>
    <w:rPr>
      <w:rFonts w:ascii="Times New Roman" w:hAnsi="Times New Roman" w:cs="Times New Roman"/>
      <w:kern w:val="2"/>
      <w:sz w:val="21"/>
      <w:szCs w:val="20"/>
    </w:rPr>
  </w:style>
  <w:style w:type="paragraph" w:customStyle="1" w:styleId="56">
    <w:name w:val="表格 33"/>
    <w:basedOn w:val="1"/>
    <w:qFormat/>
    <w:uiPriority w:val="99"/>
    <w:pPr>
      <w:autoSpaceDE w:val="0"/>
      <w:autoSpaceDN w:val="0"/>
      <w:adjustRightInd w:val="0"/>
      <w:jc w:val="center"/>
      <w:textAlignment w:val="baseline"/>
    </w:pPr>
    <w:rPr>
      <w:rFonts w:ascii="Times New Roman" w:hAnsi="Times New Roman" w:eastAsia="楷体" w:cs="Times New Roman"/>
      <w:sz w:val="21"/>
      <w:szCs w:val="20"/>
    </w:rPr>
  </w:style>
  <w:style w:type="paragraph" w:customStyle="1" w:styleId="57">
    <w:name w:val="正文2"/>
    <w:basedOn w:val="1"/>
    <w:qFormat/>
    <w:uiPriority w:val="0"/>
    <w:pPr>
      <w:adjustRightInd w:val="0"/>
      <w:snapToGrid w:val="0"/>
      <w:spacing w:line="240" w:lineRule="atLeast"/>
      <w:jc w:val="center"/>
      <w:textAlignment w:val="baseline"/>
    </w:pPr>
    <w:rPr>
      <w:rFonts w:ascii="宋体" w:hAnsi="Times New Roman" w:cs="Times New Roman"/>
      <w:sz w:val="21"/>
      <w:szCs w:val="20"/>
    </w:rPr>
  </w:style>
  <w:style w:type="paragraph" w:customStyle="1" w:styleId="58">
    <w:name w:val="正文3"/>
    <w:qFormat/>
    <w:uiPriority w:val="0"/>
    <w:pPr>
      <w:jc w:val="both"/>
    </w:pPr>
    <w:rPr>
      <w:rFonts w:ascii="Calibri" w:hAnsi="Calibri" w:eastAsia="宋体" w:cs="宋体"/>
      <w:kern w:val="2"/>
      <w:sz w:val="21"/>
      <w:szCs w:val="21"/>
      <w:lang w:val="en-US" w:eastAsia="zh-CN" w:bidi="ar-SA"/>
    </w:rPr>
  </w:style>
  <w:style w:type="paragraph" w:customStyle="1" w:styleId="59">
    <w:name w:val="Char"/>
    <w:basedOn w:val="1"/>
    <w:qFormat/>
    <w:uiPriority w:val="0"/>
    <w:pPr>
      <w:widowControl/>
      <w:spacing w:after="160" w:line="240" w:lineRule="exact"/>
      <w:jc w:val="left"/>
    </w:pPr>
    <w:rPr>
      <w:rFonts w:ascii="Times New Roman" w:hAnsi="Times New Roman" w:eastAsia="仿宋_GB2312" w:cs="Times New Roman"/>
      <w:kern w:val="2"/>
      <w:sz w:val="32"/>
      <w:szCs w:val="20"/>
    </w:rPr>
  </w:style>
  <w:style w:type="paragraph" w:customStyle="1" w:styleId="60">
    <w:name w:val="2"/>
    <w:basedOn w:val="1"/>
    <w:next w:val="11"/>
    <w:qFormat/>
    <w:uiPriority w:val="99"/>
    <w:rPr>
      <w:rFonts w:ascii="宋体" w:hAnsi="Courier New" w:cs="Times New Roman"/>
      <w:kern w:val="2"/>
      <w:sz w:val="21"/>
      <w:szCs w:val="21"/>
    </w:rPr>
  </w:style>
  <w:style w:type="paragraph" w:customStyle="1" w:styleId="61">
    <w:name w:val="列出段落1"/>
    <w:basedOn w:val="1"/>
    <w:qFormat/>
    <w:uiPriority w:val="0"/>
    <w:pPr>
      <w:ind w:firstLine="420" w:firstLineChars="200"/>
    </w:pPr>
    <w:rPr>
      <w:rFonts w:ascii="Calibri" w:hAnsi="Calibri" w:cs="Times New Roman"/>
      <w:kern w:val="2"/>
      <w:sz w:val="21"/>
      <w:szCs w:val="22"/>
    </w:rPr>
  </w:style>
  <w:style w:type="paragraph" w:customStyle="1" w:styleId="62">
    <w:name w:val="Default"/>
    <w:basedOn w:val="1"/>
    <w:qFormat/>
    <w:uiPriority w:val="0"/>
    <w:pPr>
      <w:autoSpaceDE w:val="0"/>
      <w:autoSpaceDN w:val="0"/>
      <w:adjustRightInd w:val="0"/>
      <w:jc w:val="left"/>
    </w:pPr>
    <w:rPr>
      <w:rFonts w:hint="eastAsia" w:ascii="宋体" w:hAnsi="Times New Roman" w:cs="Times New Roman"/>
      <w:color w:val="000000"/>
      <w:sz w:val="24"/>
      <w:szCs w:val="24"/>
    </w:rPr>
  </w:style>
  <w:style w:type="paragraph" w:customStyle="1" w:styleId="63">
    <w:name w:val="表格内文字"/>
    <w:basedOn w:val="1"/>
    <w:qFormat/>
    <w:uiPriority w:val="0"/>
    <w:pPr>
      <w:widowControl/>
      <w:snapToGrid w:val="0"/>
      <w:jc w:val="center"/>
    </w:pPr>
    <w:rPr>
      <w:rFonts w:hint="eastAsia" w:ascii="宋体" w:hAnsi="Times New Roman" w:cs="Times New Roman"/>
      <w:spacing w:val="10"/>
    </w:rPr>
  </w:style>
  <w:style w:type="paragraph" w:customStyle="1" w:styleId="64">
    <w:name w:val="Char1"/>
    <w:basedOn w:val="1"/>
    <w:qFormat/>
    <w:uiPriority w:val="0"/>
    <w:rPr>
      <w:rFonts w:ascii="Times New Roman" w:hAnsi="Times New Roman" w:cs="Times New Roman"/>
      <w:kern w:val="2"/>
      <w:sz w:val="21"/>
      <w:szCs w:val="20"/>
    </w:rPr>
  </w:style>
  <w:style w:type="paragraph" w:customStyle="1" w:styleId="65">
    <w:name w:val="TOC 标题1"/>
    <w:basedOn w:val="2"/>
    <w:next w:val="1"/>
    <w:qFormat/>
    <w:uiPriority w:val="39"/>
    <w:pPr>
      <w:widowControl/>
      <w:spacing w:before="480" w:after="0" w:line="276" w:lineRule="auto"/>
      <w:jc w:val="left"/>
      <w:outlineLvl w:val="9"/>
    </w:pPr>
    <w:rPr>
      <w:rFonts w:ascii="Cambria" w:hAnsi="Cambria" w:eastAsia="宋体"/>
      <w:b/>
      <w:bCs/>
      <w:color w:val="365F91"/>
      <w:kern w:val="0"/>
      <w:sz w:val="28"/>
      <w:szCs w:val="28"/>
    </w:rPr>
  </w:style>
  <w:style w:type="paragraph" w:customStyle="1" w:styleId="66">
    <w:name w:val="Char Char Char Char Char Char Char"/>
    <w:basedOn w:val="1"/>
    <w:qFormat/>
    <w:uiPriority w:val="0"/>
    <w:pPr>
      <w:widowControl/>
      <w:adjustRightInd w:val="0"/>
      <w:spacing w:after="160" w:line="240" w:lineRule="exact"/>
      <w:jc w:val="left"/>
      <w:textAlignment w:val="baseline"/>
    </w:pPr>
    <w:rPr>
      <w:rFonts w:ascii="Times New Roman" w:hAnsi="Times New Roman" w:cs="Times New Roman"/>
      <w:kern w:val="2"/>
      <w:sz w:val="21"/>
      <w:szCs w:val="24"/>
    </w:rPr>
  </w:style>
  <w:style w:type="paragraph" w:customStyle="1" w:styleId="67">
    <w:name w:val="默认段落字体 Para Char Char Char Char"/>
    <w:basedOn w:val="1"/>
    <w:qFormat/>
    <w:uiPriority w:val="0"/>
    <w:rPr>
      <w:rFonts w:ascii="Times New Roman" w:hAnsi="Times New Roman" w:cs="Times New Roman"/>
      <w:kern w:val="2"/>
      <w:sz w:val="21"/>
      <w:szCs w:val="24"/>
    </w:rPr>
  </w:style>
  <w:style w:type="paragraph" w:customStyle="1" w:styleId="68">
    <w:name w:val="(文字) (文字)1"/>
    <w:basedOn w:val="1"/>
    <w:qFormat/>
    <w:uiPriority w:val="0"/>
    <w:rPr>
      <w:rFonts w:ascii="Times New Roman" w:hAnsi="Times New Roman" w:cs="Times New Roman"/>
      <w:kern w:val="2"/>
      <w:sz w:val="21"/>
      <w:szCs w:val="20"/>
    </w:rPr>
  </w:style>
  <w:style w:type="paragraph" w:customStyle="1" w:styleId="69">
    <w:name w:val="列出段落2"/>
    <w:basedOn w:val="1"/>
    <w:qFormat/>
    <w:uiPriority w:val="99"/>
    <w:pPr>
      <w:ind w:firstLine="420" w:firstLineChars="200"/>
    </w:pPr>
  </w:style>
  <w:style w:type="paragraph" w:customStyle="1" w:styleId="70">
    <w:name w:val="+正文 Char Char"/>
    <w:basedOn w:val="1"/>
    <w:qFormat/>
    <w:uiPriority w:val="0"/>
    <w:pPr>
      <w:adjustRightInd w:val="0"/>
      <w:spacing w:line="360" w:lineRule="auto"/>
      <w:ind w:firstLine="200" w:firstLineChars="200"/>
    </w:pPr>
    <w:rPr>
      <w:rFonts w:ascii="Times New Roman" w:hAnsi="Times New Roman" w:cs="Times New Roman"/>
      <w:sz w:val="24"/>
      <w:szCs w:val="28"/>
    </w:rPr>
  </w:style>
  <w:style w:type="character" w:customStyle="1" w:styleId="71">
    <w:name w:val="表格 Char Char"/>
    <w:basedOn w:val="21"/>
    <w:link w:val="72"/>
    <w:qFormat/>
    <w:uiPriority w:val="0"/>
    <w:rPr>
      <w:kern w:val="2"/>
      <w:sz w:val="24"/>
    </w:rPr>
  </w:style>
  <w:style w:type="paragraph" w:customStyle="1" w:styleId="72">
    <w:name w:val="表格"/>
    <w:basedOn w:val="1"/>
    <w:link w:val="71"/>
    <w:qFormat/>
    <w:uiPriority w:val="0"/>
    <w:pPr>
      <w:jc w:val="center"/>
    </w:pPr>
    <w:rPr>
      <w:rFonts w:ascii="Times New Roman" w:hAnsi="Times New Roman" w:cs="Times New Roman"/>
      <w:kern w:val="2"/>
      <w:sz w:val="24"/>
      <w:szCs w:val="20"/>
    </w:rPr>
  </w:style>
  <w:style w:type="paragraph" w:customStyle="1" w:styleId="73">
    <w:name w:val="表格文字"/>
    <w:basedOn w:val="7"/>
    <w:link w:val="74"/>
    <w:qFormat/>
    <w:uiPriority w:val="0"/>
    <w:pPr>
      <w:snapToGrid w:val="0"/>
      <w:jc w:val="center"/>
    </w:pPr>
    <w:rPr>
      <w:rFonts w:hint="eastAsia" w:ascii="宋体" w:hAnsi="Arial"/>
    </w:rPr>
  </w:style>
  <w:style w:type="character" w:customStyle="1" w:styleId="74">
    <w:name w:val="表格文字 Char"/>
    <w:basedOn w:val="21"/>
    <w:link w:val="73"/>
    <w:qFormat/>
    <w:uiPriority w:val="0"/>
    <w:rPr>
      <w:rFonts w:hint="eastAsia" w:ascii="宋体" w:hAnsi="Arial" w:eastAsia="宋体" w:cs="宋体"/>
      <w:kern w:val="2"/>
      <w:sz w:val="21"/>
    </w:rPr>
  </w:style>
  <w:style w:type="character" w:customStyle="1" w:styleId="75">
    <w:name w:val="正文文本缩进 2 Char1"/>
    <w:basedOn w:val="21"/>
    <w:link w:val="13"/>
    <w:qFormat/>
    <w:uiPriority w:val="0"/>
    <w:rPr>
      <w:kern w:val="2"/>
      <w:sz w:val="21"/>
    </w:rPr>
  </w:style>
  <w:style w:type="character" w:customStyle="1" w:styleId="76">
    <w:name w:val="正文文本缩进 2 Char"/>
    <w:basedOn w:val="21"/>
    <w:link w:val="13"/>
    <w:qFormat/>
    <w:uiPriority w:val="0"/>
    <w:rPr>
      <w:kern w:val="2"/>
      <w:sz w:val="21"/>
    </w:rPr>
  </w:style>
  <w:style w:type="paragraph" w:customStyle="1" w:styleId="77">
    <w:name w:val="列出段落3"/>
    <w:basedOn w:val="1"/>
    <w:unhideWhenUsed/>
    <w:qFormat/>
    <w:uiPriority w:val="99"/>
    <w:pPr>
      <w:ind w:firstLine="420" w:firstLineChars="200"/>
    </w:pPr>
  </w:style>
  <w:style w:type="character" w:customStyle="1" w:styleId="78">
    <w:name w:val="表格123 Char"/>
    <w:link w:val="79"/>
    <w:qFormat/>
    <w:uiPriority w:val="0"/>
    <w:rPr>
      <w:rFonts w:ascii="Cambria" w:hAnsi="Cambria"/>
      <w:sz w:val="21"/>
      <w:szCs w:val="21"/>
    </w:rPr>
  </w:style>
  <w:style w:type="paragraph" w:customStyle="1" w:styleId="79">
    <w:name w:val="表格123"/>
    <w:basedOn w:val="1"/>
    <w:link w:val="78"/>
    <w:qFormat/>
    <w:uiPriority w:val="0"/>
    <w:pPr>
      <w:autoSpaceDE w:val="0"/>
      <w:autoSpaceDN w:val="0"/>
      <w:adjustRightInd w:val="0"/>
      <w:snapToGrid w:val="0"/>
      <w:jc w:val="center"/>
    </w:pPr>
    <w:rPr>
      <w:rFonts w:ascii="Cambria" w:hAnsi="Cambria" w:cs="Times New Roman"/>
      <w:sz w:val="21"/>
      <w:szCs w:val="21"/>
    </w:rPr>
  </w:style>
  <w:style w:type="character" w:customStyle="1" w:styleId="80">
    <w:name w:val="标题 Char"/>
    <w:link w:val="20"/>
    <w:qFormat/>
    <w:uiPriority w:val="10"/>
    <w:rPr>
      <w:bCs/>
      <w:kern w:val="2"/>
      <w:sz w:val="21"/>
      <w:szCs w:val="21"/>
    </w:rPr>
  </w:style>
  <w:style w:type="character" w:customStyle="1" w:styleId="81">
    <w:name w:val="标题 Char1"/>
    <w:basedOn w:val="21"/>
    <w:link w:val="20"/>
    <w:uiPriority w:val="0"/>
    <w:rPr>
      <w:rFonts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1.emf"/><Relationship Id="rId34" Type="http://schemas.openxmlformats.org/officeDocument/2006/relationships/oleObject" Target="embeddings/oleObject3.bin"/><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pn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6.png"/><Relationship Id="rId17" Type="http://schemas.openxmlformats.org/officeDocument/2006/relationships/image" Target="media/image5.emf"/><Relationship Id="rId16" Type="http://schemas.openxmlformats.org/officeDocument/2006/relationships/oleObject" Target="embeddings/oleObject1.bin"/><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header" Target="head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3073"/>
    <customShpInfo spid="_x0000_s3078"/>
    <customShpInfo spid="_x0000_s3079"/>
    <customShpInfo spid="_x0000_s3080"/>
    <customShpInfo spid="_x0000_s3081"/>
    <customShpInfo spid="_x0000_s3082"/>
    <customShpInfo spid="_x0000_s2055"/>
    <customShpInfo spid="_x0000_s2053"/>
    <customShpInfo spid="_x0000_s2061"/>
    <customShpInfo spid="_x0000_s2060"/>
    <customShpInfo spid="_x0000_s2125"/>
    <customShpInfo spid="_x0000_s2181"/>
    <customShpInfo spid="_x0000_s2177"/>
    <customShpInfo spid="_x0000_s2176"/>
    <customShpInfo spid="_x0000_s2175"/>
    <customShpInfo spid="_x0000_s2174"/>
    <customShpInfo spid="_x0000_s2173"/>
    <customShpInfo spid="_x0000_s2172"/>
    <customShpInfo spid="_x0000_s2171"/>
    <customShpInfo spid="_x0000_s2170"/>
    <customShpInfo spid="_x0000_s2169"/>
    <customShpInfo spid="_x0000_s2168"/>
    <customShpInfo spid="_x0000_s2167"/>
    <customShpInfo spid="_x0000_s2166"/>
    <customShpInfo spid="_x0000_s2165"/>
    <customShpInfo spid="_x0000_s2164"/>
    <customShpInfo spid="_x0000_s2163"/>
    <customShpInfo spid="_x0000_s2162"/>
    <customShpInfo spid="_x0000_s2161"/>
    <customShpInfo spid="_x0000_s2160"/>
    <customShpInfo spid="_x0000_s2159"/>
    <customShpInfo spid="_x0000_s2158"/>
    <customShpInfo spid="_x0000_s2157"/>
    <customShpInfo spid="_x0000_s2156"/>
    <customShpInfo spid="_x0000_s2155"/>
    <customShpInfo spid="_x0000_s2154"/>
    <customShpInfo spid="_x0000_s2153"/>
    <customShpInfo spid="_x0000_s2152"/>
    <customShpInfo spid="_x0000_s2151"/>
    <customShpInfo spid="_x0000_s2150"/>
    <customShpInfo spid="_x0000_s2149"/>
    <customShpInfo spid="_x0000_s2148"/>
    <customShpInfo spid="_x0000_s2147"/>
    <customShpInfo spid="_x0000_s2146"/>
    <customShpInfo spid="_x0000_s2145"/>
    <customShpInfo spid="_x0000_s2144"/>
    <customShpInfo spid="_x0000_s2143"/>
    <customShpInfo spid="_x0000_s2142"/>
    <customShpInfo spid="_x0000_s2141"/>
    <customShpInfo spid="_x0000_s2140"/>
    <customShpInfo spid="_x0000_s2129"/>
    <customShpInfo spid="_x0000_s2139"/>
    <customShpInfo spid="_x0000_s2138"/>
    <customShpInfo spid="_x0000_s2130"/>
    <customShpInfo spid="_x0000_s2137"/>
    <customShpInfo spid="_x0000_s2136"/>
    <customShpInfo spid="_x0000_s2135"/>
    <customShpInfo spid="_x0000_s2134"/>
    <customShpInfo spid="_x0000_s2133"/>
    <customShpInfo spid="_x0000_s2132"/>
    <customShpInfo spid="_x0000_s2128"/>
    <customShpInfo spid="_x0000_s2126"/>
    <customShpInfo spid="_x0000_s2124"/>
    <customShpInfo spid="_x0000_s2123"/>
    <customShpInfo spid="_x0000_s21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88</Pages>
  <Words>7749</Words>
  <Characters>44173</Characters>
  <Lines>368</Lines>
  <Paragraphs>103</Paragraphs>
  <ScaleCrop>false</ScaleCrop>
  <LinksUpToDate>false</LinksUpToDate>
  <CharactersWithSpaces>51819</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2010-08-17T02:57:00Z</dcterms:created>
  <dc:creator>微软用户</dc:creator>
  <cp:lastModifiedBy>Administrator</cp:lastModifiedBy>
  <cp:lastPrinted>2017-08-21T05:47:00Z</cp:lastPrinted>
  <dcterms:modified xsi:type="dcterms:W3CDTF">2017-08-21T06:01:00Z</dcterms:modified>
  <dc:title>应急预案编号：YTHJYL——HB——2010——002</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